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7BB9" w:rsidRPr="004977CE" w:rsidRDefault="006A7BB9" w:rsidP="00327FF3">
      <w:pPr>
        <w:spacing w:before="60"/>
      </w:pPr>
      <w:bookmarkStart w:id="0" w:name="_Toc314475542"/>
    </w:p>
    <w:p w:rsidR="006A7BB9" w:rsidRDefault="006A7BB9" w:rsidP="003D0E2F"/>
    <w:p w:rsidR="006A7BB9" w:rsidRDefault="006A7BB9" w:rsidP="003D0E2F"/>
    <w:p w:rsidR="00F84696" w:rsidRPr="0054138D" w:rsidRDefault="00521625" w:rsidP="0054138D">
      <w:pPr>
        <w:pStyle w:val="Title"/>
      </w:pPr>
      <w:bookmarkStart w:id="1" w:name="_Toc314475552"/>
      <w:bookmarkEnd w:id="0"/>
      <w:r>
        <w:t>LEGAL SERVICES COMMISSION</w:t>
      </w:r>
      <w:r w:rsidR="00D20A2A">
        <w:br/>
      </w:r>
      <w:bookmarkStart w:id="2" w:name="_GoBack"/>
      <w:bookmarkEnd w:id="2"/>
      <w:r w:rsidR="00540F6D" w:rsidRPr="00540F6D">
        <w:t xml:space="preserve"> RETENTION AND DISPOSAL SCHEDULE</w:t>
      </w:r>
      <w:r w:rsidR="003D0E2F" w:rsidRPr="00540F6D">
        <w:br/>
      </w:r>
    </w:p>
    <w:p w:rsidR="00F84696" w:rsidRPr="00746863" w:rsidRDefault="00F84696" w:rsidP="00327FF3">
      <w:pPr>
        <w:spacing w:before="60"/>
        <w:jc w:val="center"/>
        <w:rPr>
          <w:sz w:val="56"/>
          <w:szCs w:val="56"/>
          <w:lang w:eastAsia="en-AU"/>
        </w:rPr>
      </w:pPr>
      <w:r w:rsidRPr="00746863">
        <w:rPr>
          <w:sz w:val="56"/>
          <w:szCs w:val="56"/>
          <w:lang w:eastAsia="en-AU"/>
        </w:rPr>
        <w:t>Authorised</w:t>
      </w:r>
      <w:r>
        <w:rPr>
          <w:sz w:val="56"/>
          <w:szCs w:val="56"/>
          <w:lang w:eastAsia="en-AU"/>
        </w:rPr>
        <w:t xml:space="preserve"> </w:t>
      </w:r>
      <w:r w:rsidR="006D21F3">
        <w:rPr>
          <w:sz w:val="56"/>
          <w:szCs w:val="56"/>
          <w:lang w:eastAsia="en-AU"/>
        </w:rPr>
        <w:t>21/03/2018</w:t>
      </w:r>
    </w:p>
    <w:p w:rsidR="00F84696" w:rsidRDefault="00F84696" w:rsidP="00327FF3">
      <w:pPr>
        <w:spacing w:before="60"/>
        <w:rPr>
          <w:lang w:eastAsia="en-AU"/>
        </w:rPr>
      </w:pPr>
    </w:p>
    <w:p w:rsidR="00521625" w:rsidRPr="00521625" w:rsidRDefault="00F84696" w:rsidP="00521625">
      <w:pPr>
        <w:pStyle w:val="NormalWeb"/>
        <w:spacing w:before="0" w:beforeAutospacing="0" w:after="0" w:afterAutospacing="0"/>
        <w:jc w:val="center"/>
        <w:rPr>
          <w:rFonts w:ascii="Arial" w:hAnsi="Arial"/>
          <w:sz w:val="36"/>
          <w:szCs w:val="36"/>
        </w:rPr>
      </w:pPr>
      <w:r w:rsidRPr="00521625">
        <w:rPr>
          <w:rFonts w:ascii="Arial" w:hAnsi="Arial"/>
          <w:sz w:val="36"/>
          <w:szCs w:val="36"/>
        </w:rPr>
        <w:t xml:space="preserve">An authorisation under s.26 of the Public Records Act 2002 for the disposal of </w:t>
      </w:r>
      <w:r w:rsidR="00521625" w:rsidRPr="00521625">
        <w:rPr>
          <w:rFonts w:ascii="Arial" w:hAnsi="Arial"/>
          <w:sz w:val="36"/>
          <w:szCs w:val="36"/>
        </w:rPr>
        <w:t>records relating to complaints about lawyers, law practice employees and unlawful operators created by Legal Services Commission.</w:t>
      </w:r>
    </w:p>
    <w:p w:rsidR="00F84696" w:rsidRPr="00540F6D" w:rsidRDefault="00F84696" w:rsidP="00540F6D">
      <w:pPr>
        <w:spacing w:before="60"/>
        <w:jc w:val="center"/>
        <w:rPr>
          <w:sz w:val="36"/>
          <w:szCs w:val="36"/>
          <w:lang w:eastAsia="en-AU"/>
        </w:rPr>
      </w:pPr>
      <w:r w:rsidRPr="00746863">
        <w:rPr>
          <w:sz w:val="36"/>
          <w:szCs w:val="36"/>
          <w:lang w:eastAsia="en-AU"/>
        </w:rPr>
        <w:t xml:space="preserve"> </w:t>
      </w:r>
    </w:p>
    <w:p w:rsidR="00C25F1D" w:rsidRDefault="00C25F1D" w:rsidP="00327FF3">
      <w:pPr>
        <w:spacing w:before="60"/>
        <w:jc w:val="center"/>
        <w:rPr>
          <w:rFonts w:cs="Arial"/>
          <w:szCs w:val="22"/>
          <w:lang w:eastAsia="en-AU"/>
        </w:rPr>
      </w:pPr>
    </w:p>
    <w:p w:rsidR="00C25F1D" w:rsidRDefault="00C25F1D" w:rsidP="00327FF3">
      <w:pPr>
        <w:spacing w:before="60"/>
        <w:jc w:val="center"/>
        <w:rPr>
          <w:rFonts w:cs="Arial"/>
          <w:szCs w:val="22"/>
          <w:lang w:eastAsia="en-AU"/>
        </w:rPr>
      </w:pPr>
    </w:p>
    <w:p w:rsidR="00C25F1D" w:rsidRDefault="00C25F1D" w:rsidP="00327FF3">
      <w:pPr>
        <w:spacing w:before="60"/>
        <w:jc w:val="center"/>
        <w:rPr>
          <w:rFonts w:cs="Arial"/>
          <w:szCs w:val="22"/>
          <w:lang w:eastAsia="en-AU"/>
        </w:rPr>
      </w:pPr>
    </w:p>
    <w:p w:rsidR="00F84696" w:rsidRPr="00C25F1D" w:rsidRDefault="00F84696" w:rsidP="00327FF3">
      <w:pPr>
        <w:spacing w:before="60"/>
        <w:jc w:val="center"/>
        <w:rPr>
          <w:rFonts w:cs="Arial"/>
          <w:szCs w:val="22"/>
          <w:lang w:eastAsia="en-AU"/>
        </w:rPr>
      </w:pPr>
      <w:r w:rsidRPr="00C25F1D">
        <w:rPr>
          <w:rFonts w:cs="Arial"/>
          <w:szCs w:val="22"/>
          <w:lang w:eastAsia="en-AU"/>
        </w:rPr>
        <w:t xml:space="preserve">Where printed, this reproduction is only accurate at the time of printing. </w:t>
      </w:r>
    </w:p>
    <w:p w:rsidR="00F84696" w:rsidRPr="00C25F1D" w:rsidRDefault="005B6BE4" w:rsidP="00327FF3">
      <w:pPr>
        <w:spacing w:before="60"/>
        <w:jc w:val="center"/>
        <w:rPr>
          <w:rFonts w:cs="Arial"/>
          <w:szCs w:val="22"/>
          <w:lang w:eastAsia="en-AU"/>
        </w:rPr>
      </w:pPr>
      <w:r w:rsidRPr="00C25F1D">
        <w:rPr>
          <w:szCs w:val="22"/>
          <w:lang w:eastAsia="en-AU"/>
        </w:rPr>
        <w:t xml:space="preserve">The </w:t>
      </w:r>
      <w:hyperlink r:id="rId9" w:history="1">
        <w:r w:rsidRPr="00C25F1D">
          <w:rPr>
            <w:rStyle w:val="Hyperlink"/>
            <w:szCs w:val="22"/>
            <w:lang w:eastAsia="en-AU"/>
          </w:rPr>
          <w:t>Queensland Government (For Government) website</w:t>
        </w:r>
      </w:hyperlink>
      <w:r w:rsidR="00F84696" w:rsidRPr="00C25F1D">
        <w:rPr>
          <w:szCs w:val="22"/>
          <w:lang w:eastAsia="en-AU"/>
        </w:rPr>
        <w:t xml:space="preserve"> should always be referred to </w:t>
      </w:r>
      <w:r w:rsidRPr="00C25F1D">
        <w:rPr>
          <w:szCs w:val="22"/>
          <w:lang w:eastAsia="en-AU"/>
        </w:rPr>
        <w:br/>
      </w:r>
      <w:r w:rsidR="00F84696" w:rsidRPr="00C25F1D">
        <w:rPr>
          <w:szCs w:val="22"/>
          <w:lang w:eastAsia="en-AU"/>
        </w:rPr>
        <w:t>for the current, authorised version.</w:t>
      </w:r>
    </w:p>
    <w:p w:rsidR="009F42B7" w:rsidRPr="0054138D" w:rsidRDefault="003D0E2F" w:rsidP="0054138D">
      <w:pPr>
        <w:pStyle w:val="Heading4"/>
      </w:pPr>
      <w:bookmarkStart w:id="3" w:name="_Toc314475554"/>
      <w:bookmarkEnd w:id="1"/>
      <w:r>
        <w:br w:type="page"/>
      </w:r>
      <w:r w:rsidR="009F42B7" w:rsidRPr="00327FF3">
        <w:lastRenderedPageBreak/>
        <w:t>Using this schedule</w:t>
      </w:r>
    </w:p>
    <w:p w:rsidR="009F42B7" w:rsidRDefault="009F42B7" w:rsidP="00327FF3">
      <w:pPr>
        <w:pStyle w:val="Default"/>
        <w:spacing w:before="60" w:after="60"/>
        <w:rPr>
          <w:color w:val="auto"/>
          <w:sz w:val="22"/>
          <w:szCs w:val="22"/>
          <w:lang w:eastAsia="en-US"/>
        </w:rPr>
      </w:pPr>
      <w:r>
        <w:rPr>
          <w:sz w:val="22"/>
          <w:szCs w:val="22"/>
        </w:rPr>
        <w:t xml:space="preserve">The </w:t>
      </w:r>
      <w:r w:rsidR="00521625" w:rsidRPr="00445B3E">
        <w:rPr>
          <w:color w:val="auto"/>
          <w:sz w:val="22"/>
          <w:szCs w:val="22"/>
        </w:rPr>
        <w:t>Legal Services Commission</w:t>
      </w:r>
      <w:r>
        <w:rPr>
          <w:sz w:val="22"/>
          <w:szCs w:val="22"/>
        </w:rPr>
        <w:t xml:space="preserve"> retention and disposal schedule </w:t>
      </w:r>
      <w:r w:rsidRPr="008D4B3E">
        <w:rPr>
          <w:sz w:val="22"/>
          <w:szCs w:val="22"/>
        </w:rPr>
        <w:t xml:space="preserve">authorises the disposal of </w:t>
      </w:r>
      <w:r w:rsidR="00521625" w:rsidRPr="00445B3E">
        <w:rPr>
          <w:color w:val="auto"/>
          <w:sz w:val="22"/>
          <w:szCs w:val="22"/>
        </w:rPr>
        <w:t>records relating to complaints about lawyers, law practice employees and unlawful operators created by</w:t>
      </w:r>
      <w:r w:rsidR="00521625">
        <w:rPr>
          <w:color w:val="auto"/>
          <w:sz w:val="22"/>
          <w:szCs w:val="22"/>
        </w:rPr>
        <w:t xml:space="preserve"> Legal Services Commission</w:t>
      </w:r>
      <w:r w:rsidR="00521625" w:rsidRPr="00445B3E">
        <w:rPr>
          <w:color w:val="auto"/>
          <w:sz w:val="22"/>
          <w:szCs w:val="22"/>
        </w:rPr>
        <w:t>.</w:t>
      </w:r>
      <w:r w:rsidRPr="008D4B3E">
        <w:rPr>
          <w:sz w:val="22"/>
          <w:szCs w:val="22"/>
        </w:rPr>
        <w:t xml:space="preserve"> It applies to</w:t>
      </w:r>
      <w:r w:rsidRPr="00D96034">
        <w:rPr>
          <w:sz w:val="22"/>
          <w:szCs w:val="22"/>
        </w:rPr>
        <w:t xml:space="preserve"> records created in any format, unless otherwise specified in the class description. </w:t>
      </w:r>
    </w:p>
    <w:p w:rsidR="00D5449F" w:rsidRDefault="009F42B7" w:rsidP="00327FF3">
      <w:pPr>
        <w:spacing w:before="60" w:line="240" w:lineRule="auto"/>
        <w:rPr>
          <w:szCs w:val="22"/>
        </w:rPr>
      </w:pPr>
      <w:r w:rsidRPr="008D4B3E">
        <w:rPr>
          <w:szCs w:val="22"/>
        </w:rPr>
        <w:t xml:space="preserve">The </w:t>
      </w:r>
      <w:r w:rsidR="00521625" w:rsidRPr="00445B3E">
        <w:rPr>
          <w:szCs w:val="22"/>
        </w:rPr>
        <w:t>Legal Services Commission</w:t>
      </w:r>
      <w:r>
        <w:rPr>
          <w:szCs w:val="22"/>
        </w:rPr>
        <w:t xml:space="preserve"> retention and disposal schedule</w:t>
      </w:r>
      <w:r>
        <w:rPr>
          <w:rFonts w:cs="Arial"/>
          <w:szCs w:val="22"/>
        </w:rPr>
        <w:t xml:space="preserve"> can</w:t>
      </w:r>
      <w:r w:rsidRPr="008D4B3E">
        <w:rPr>
          <w:szCs w:val="22"/>
        </w:rPr>
        <w:t xml:space="preserve"> be used in conjunction with </w:t>
      </w:r>
      <w:r>
        <w:rPr>
          <w:szCs w:val="22"/>
        </w:rPr>
        <w:t xml:space="preserve">the </w:t>
      </w:r>
      <w:hyperlink r:id="rId10" w:history="1">
        <w:r w:rsidRPr="00303A49">
          <w:rPr>
            <w:rStyle w:val="Hyperlink"/>
            <w:szCs w:val="22"/>
          </w:rPr>
          <w:t>General retention and disposal schedule</w:t>
        </w:r>
      </w:hyperlink>
      <w:r>
        <w:rPr>
          <w:szCs w:val="22"/>
        </w:rPr>
        <w:t xml:space="preserve"> (GRDS). </w:t>
      </w:r>
      <w:r w:rsidRPr="008D4B3E">
        <w:rPr>
          <w:szCs w:val="22"/>
        </w:rPr>
        <w:t xml:space="preserve">Record classes in the Common </w:t>
      </w:r>
      <w:r w:rsidR="00535527">
        <w:rPr>
          <w:szCs w:val="22"/>
        </w:rPr>
        <w:t>A</w:t>
      </w:r>
      <w:r w:rsidRPr="008D4B3E">
        <w:rPr>
          <w:szCs w:val="22"/>
        </w:rPr>
        <w:t>ctivities</w:t>
      </w:r>
      <w:r>
        <w:rPr>
          <w:szCs w:val="22"/>
        </w:rPr>
        <w:t xml:space="preserve"> section of the GRDS </w:t>
      </w:r>
      <w:r w:rsidRPr="00DC4374">
        <w:rPr>
          <w:szCs w:val="22"/>
        </w:rPr>
        <w:t xml:space="preserve">can be applied to any function </w:t>
      </w:r>
      <w:r>
        <w:rPr>
          <w:szCs w:val="22"/>
        </w:rPr>
        <w:t>undertaken by</w:t>
      </w:r>
      <w:r w:rsidRPr="00DC4374">
        <w:rPr>
          <w:szCs w:val="22"/>
        </w:rPr>
        <w:t xml:space="preserve"> the agency, provided </w:t>
      </w:r>
      <w:r>
        <w:rPr>
          <w:szCs w:val="22"/>
        </w:rPr>
        <w:t>the retention period</w:t>
      </w:r>
      <w:r w:rsidRPr="00DC4374">
        <w:rPr>
          <w:szCs w:val="22"/>
        </w:rPr>
        <w:t xml:space="preserve"> meets </w:t>
      </w:r>
      <w:r>
        <w:rPr>
          <w:szCs w:val="22"/>
        </w:rPr>
        <w:t xml:space="preserve">all </w:t>
      </w:r>
      <w:r w:rsidRPr="00DC4374">
        <w:rPr>
          <w:szCs w:val="22"/>
        </w:rPr>
        <w:t>of the agency’s specific regulatory requirements and there are no exclusions listed</w:t>
      </w:r>
      <w:r>
        <w:rPr>
          <w:szCs w:val="22"/>
        </w:rPr>
        <w:t>.</w:t>
      </w:r>
      <w:r w:rsidRPr="00DC4374">
        <w:rPr>
          <w:szCs w:val="22"/>
        </w:rPr>
        <w:t xml:space="preserve"> </w:t>
      </w:r>
    </w:p>
    <w:p w:rsidR="009F42B7" w:rsidRDefault="009F42B7" w:rsidP="00327FF3">
      <w:pPr>
        <w:spacing w:before="60" w:line="240" w:lineRule="auto"/>
        <w:ind w:right="-170"/>
        <w:rPr>
          <w:szCs w:val="22"/>
        </w:rPr>
      </w:pPr>
      <w:r>
        <w:rPr>
          <w:szCs w:val="22"/>
        </w:rPr>
        <w:t xml:space="preserve">Any </w:t>
      </w:r>
      <w:r w:rsidRPr="00DC4374">
        <w:rPr>
          <w:szCs w:val="22"/>
        </w:rPr>
        <w:t>references to repealed legislation may be taken as a reference to current legislation if the context permits.</w:t>
      </w:r>
    </w:p>
    <w:p w:rsidR="00610371" w:rsidRPr="00610371" w:rsidRDefault="00610371" w:rsidP="00610371">
      <w:pPr>
        <w:spacing w:before="60" w:line="240" w:lineRule="auto"/>
        <w:ind w:right="-170"/>
        <w:rPr>
          <w:iCs/>
          <w:szCs w:val="22"/>
        </w:rPr>
      </w:pPr>
      <w:r w:rsidRPr="00610371">
        <w:rPr>
          <w:iCs/>
          <w:szCs w:val="22"/>
        </w:rPr>
        <w:t xml:space="preserve">The </w:t>
      </w:r>
      <w:r w:rsidR="00521625">
        <w:rPr>
          <w:szCs w:val="22"/>
        </w:rPr>
        <w:t>Legal Services Commission</w:t>
      </w:r>
      <w:r w:rsidRPr="00610371">
        <w:rPr>
          <w:iCs/>
          <w:szCs w:val="22"/>
        </w:rPr>
        <w:t xml:space="preserve"> is the responsible agency for the </w:t>
      </w:r>
      <w:r w:rsidR="00521625" w:rsidRPr="00445B3E">
        <w:rPr>
          <w:szCs w:val="22"/>
        </w:rPr>
        <w:t>Legal Services Commission</w:t>
      </w:r>
      <w:r>
        <w:rPr>
          <w:szCs w:val="22"/>
        </w:rPr>
        <w:t>.</w:t>
      </w:r>
      <w:r w:rsidRPr="00610371">
        <w:rPr>
          <w:iCs/>
          <w:szCs w:val="22"/>
        </w:rPr>
        <w:t xml:space="preserve"> Retention and Disposal Schedule at the time of approval of the schedule. However, in the event of an administrative change, or the transfer of a function from one public authority to another, this retention and disposal schedule will continue to apply to the records covered by the schedule. For further advice on the currency of approved retention and disposal schedules following administrative change, please contact Agency Services at Queensland State Archives on (07) 3037 6630 or </w:t>
      </w:r>
      <w:hyperlink r:id="rId11" w:history="1">
        <w:r w:rsidRPr="00610371">
          <w:rPr>
            <w:rStyle w:val="Hyperlink"/>
            <w:iCs/>
            <w:szCs w:val="22"/>
          </w:rPr>
          <w:t>rkqueries@archives.qld.gov.au</w:t>
        </w:r>
      </w:hyperlink>
      <w:r w:rsidRPr="00610371">
        <w:rPr>
          <w:iCs/>
          <w:szCs w:val="22"/>
        </w:rPr>
        <w:t>.</w:t>
      </w:r>
    </w:p>
    <w:p w:rsidR="009F42B7" w:rsidRPr="00D5449F" w:rsidRDefault="009F42B7" w:rsidP="00521625">
      <w:pPr>
        <w:spacing w:before="60" w:line="240" w:lineRule="auto"/>
        <w:rPr>
          <w:b/>
        </w:rPr>
      </w:pPr>
      <w:r w:rsidRPr="00DC4374">
        <w:rPr>
          <w:szCs w:val="22"/>
        </w:rPr>
        <w:t xml:space="preserve">Any </w:t>
      </w:r>
      <w:r>
        <w:rPr>
          <w:szCs w:val="22"/>
        </w:rPr>
        <w:t>previously authorised</w:t>
      </w:r>
      <w:r w:rsidRPr="00DC4374">
        <w:rPr>
          <w:szCs w:val="22"/>
        </w:rPr>
        <w:t xml:space="preserve"> retention and disposal schedule </w:t>
      </w:r>
      <w:r>
        <w:rPr>
          <w:szCs w:val="22"/>
        </w:rPr>
        <w:t xml:space="preserve">covering record classes described in this schedule </w:t>
      </w:r>
      <w:r w:rsidRPr="00DC4374">
        <w:rPr>
          <w:szCs w:val="22"/>
        </w:rPr>
        <w:t xml:space="preserve">is </w:t>
      </w:r>
      <w:r>
        <w:rPr>
          <w:szCs w:val="22"/>
        </w:rPr>
        <w:t xml:space="preserve">now </w:t>
      </w:r>
      <w:r w:rsidRPr="00DC4374">
        <w:rPr>
          <w:szCs w:val="22"/>
        </w:rPr>
        <w:t>superseded and previous versions should be removed from use. It is the agency’s responsibility to maintain the current approved schedule within their business practice</w:t>
      </w:r>
      <w:r>
        <w:rPr>
          <w:szCs w:val="22"/>
        </w:rPr>
        <w:t>s</w:t>
      </w:r>
      <w:r w:rsidRPr="00DC4374">
        <w:rPr>
          <w:szCs w:val="22"/>
        </w:rPr>
        <w:t xml:space="preserve"> and systems. </w:t>
      </w:r>
    </w:p>
    <w:p w:rsidR="00D5449F" w:rsidRPr="00D5449F" w:rsidRDefault="00D5449F" w:rsidP="00D5449F">
      <w:pPr>
        <w:spacing w:before="60" w:line="240" w:lineRule="auto"/>
        <w:rPr>
          <w:szCs w:val="22"/>
        </w:rPr>
      </w:pPr>
      <w:r w:rsidRPr="00DC4374">
        <w:rPr>
          <w:szCs w:val="22"/>
        </w:rPr>
        <w:t xml:space="preserve">Schedules should be reviewed </w:t>
      </w:r>
      <w:r>
        <w:rPr>
          <w:szCs w:val="22"/>
        </w:rPr>
        <w:t xml:space="preserve">at least </w:t>
      </w:r>
      <w:r w:rsidRPr="00DC4374">
        <w:rPr>
          <w:szCs w:val="22"/>
        </w:rPr>
        <w:t>every 5 years</w:t>
      </w:r>
      <w:r>
        <w:rPr>
          <w:szCs w:val="22"/>
        </w:rPr>
        <w:t xml:space="preserve">. </w:t>
      </w:r>
    </w:p>
    <w:p w:rsidR="009F42B7" w:rsidRPr="0054138D" w:rsidRDefault="009F42B7" w:rsidP="0054138D">
      <w:pPr>
        <w:pStyle w:val="Heading4"/>
      </w:pPr>
      <w:bookmarkStart w:id="4" w:name="_Toc314475555"/>
      <w:bookmarkEnd w:id="3"/>
      <w:r w:rsidRPr="0054138D">
        <w:t>When this schedule should not be used</w:t>
      </w:r>
    </w:p>
    <w:p w:rsidR="009F42B7" w:rsidRPr="00DC4374" w:rsidRDefault="009F42B7" w:rsidP="00327FF3">
      <w:pPr>
        <w:spacing w:before="60" w:line="240" w:lineRule="auto"/>
        <w:rPr>
          <w:szCs w:val="22"/>
        </w:rPr>
      </w:pPr>
      <w:r w:rsidRPr="00DC4374">
        <w:rPr>
          <w:szCs w:val="22"/>
        </w:rPr>
        <w:t xml:space="preserve">It is an offence under the </w:t>
      </w:r>
      <w:r w:rsidRPr="00DC4374">
        <w:rPr>
          <w:i/>
          <w:iCs/>
          <w:szCs w:val="22"/>
        </w:rPr>
        <w:t>Criminal Code Act 1899</w:t>
      </w:r>
      <w:r w:rsidRPr="00DC4374">
        <w:rPr>
          <w:szCs w:val="22"/>
        </w:rPr>
        <w:t xml:space="preserve"> (s.129) </w:t>
      </w:r>
      <w:r w:rsidRPr="00DC4374">
        <w:rPr>
          <w:i/>
          <w:szCs w:val="22"/>
        </w:rPr>
        <w:t xml:space="preserve">‘for a person, who knowing something is or may be needed in evidence in a judicial proceeding, damages it with intent to stop it being used in evidence’. </w:t>
      </w:r>
      <w:r w:rsidRPr="00DC4374">
        <w:rPr>
          <w:szCs w:val="22"/>
        </w:rPr>
        <w:t xml:space="preserve">A duty of care exists </w:t>
      </w:r>
      <w:r>
        <w:rPr>
          <w:szCs w:val="22"/>
        </w:rPr>
        <w:t xml:space="preserve">for agencies </w:t>
      </w:r>
      <w:r w:rsidRPr="00DC4374">
        <w:rPr>
          <w:szCs w:val="22"/>
        </w:rPr>
        <w:t>to ensure records that may be needed in evidence in a judicial proceeding, including any legal action or a Commission of Inquiry, are not disposed of. Internal processes should be implemented to meet this obligation</w:t>
      </w:r>
      <w:r>
        <w:rPr>
          <w:szCs w:val="22"/>
        </w:rPr>
        <w:t>,</w:t>
      </w:r>
      <w:r w:rsidRPr="00DC4374">
        <w:rPr>
          <w:szCs w:val="22"/>
        </w:rPr>
        <w:t xml:space="preserve"> which may include consultation with your legal or Right to Information area or issuing an internal </w:t>
      </w:r>
      <w:r>
        <w:rPr>
          <w:szCs w:val="22"/>
        </w:rPr>
        <w:t xml:space="preserve">records </w:t>
      </w:r>
      <w:r w:rsidRPr="00DC4374">
        <w:rPr>
          <w:szCs w:val="22"/>
        </w:rPr>
        <w:t xml:space="preserve">disposal freeze if it is reasonably expected that </w:t>
      </w:r>
      <w:r>
        <w:rPr>
          <w:szCs w:val="22"/>
        </w:rPr>
        <w:t xml:space="preserve">a judicial proceeding </w:t>
      </w:r>
      <w:r w:rsidRPr="00DC4374">
        <w:rPr>
          <w:szCs w:val="22"/>
        </w:rPr>
        <w:t>may occur e.g. retaining property files that may contain information on the use of asbestos in buildings</w:t>
      </w:r>
      <w:r>
        <w:rPr>
          <w:szCs w:val="22"/>
        </w:rPr>
        <w:t xml:space="preserve">. </w:t>
      </w:r>
    </w:p>
    <w:p w:rsidR="009F42B7" w:rsidRDefault="009F42B7" w:rsidP="00241EE1">
      <w:pPr>
        <w:spacing w:before="60" w:line="240" w:lineRule="auto"/>
      </w:pPr>
      <w:r w:rsidRPr="003637B6">
        <w:rPr>
          <w:szCs w:val="22"/>
        </w:rPr>
        <w:t xml:space="preserve">Additionally, </w:t>
      </w:r>
      <w:r>
        <w:t xml:space="preserve">any group of records covered by a disposal freeze issued by the State Archivist cannot be disposed of while the freeze is in place. Disposal freezes </w:t>
      </w:r>
      <w:r w:rsidRPr="00DA7708">
        <w:t>generally relate to a particular topic or event which has gained prominence or provokes controversy.</w:t>
      </w:r>
      <w:r>
        <w:t xml:space="preserve"> </w:t>
      </w:r>
      <w:r w:rsidRPr="003637B6">
        <w:t xml:space="preserve">Further information about current disposal freezes and whether they affect the use of this </w:t>
      </w:r>
      <w:r>
        <w:t>s</w:t>
      </w:r>
      <w:r w:rsidRPr="003637B6">
        <w:t xml:space="preserve">chedule is available from </w:t>
      </w:r>
      <w:r>
        <w:t xml:space="preserve">the </w:t>
      </w:r>
      <w:hyperlink r:id="rId12" w:history="1">
        <w:r w:rsidR="00241EE1" w:rsidRPr="00241EE1">
          <w:rPr>
            <w:rStyle w:val="Hyperlink"/>
          </w:rPr>
          <w:t>Queensland Government (For Government) website</w:t>
        </w:r>
      </w:hyperlink>
      <w:r w:rsidR="00241EE1" w:rsidRPr="00303A49">
        <w:t>.</w:t>
      </w:r>
      <w:r w:rsidR="00241EE1">
        <w:t xml:space="preserve"> </w:t>
      </w:r>
    </w:p>
    <w:p w:rsidR="009F42B7" w:rsidRDefault="009F42B7" w:rsidP="00327FF3">
      <w:pPr>
        <w:spacing w:before="60" w:line="240" w:lineRule="auto"/>
        <w:rPr>
          <w:szCs w:val="22"/>
        </w:rPr>
      </w:pPr>
      <w:r w:rsidRPr="003637B6">
        <w:rPr>
          <w:szCs w:val="22"/>
        </w:rPr>
        <w:t xml:space="preserve">Records which </w:t>
      </w:r>
      <w:r w:rsidRPr="00DA7708">
        <w:rPr>
          <w:szCs w:val="22"/>
        </w:rPr>
        <w:t xml:space="preserve">are subject to a request for access under the </w:t>
      </w:r>
      <w:r w:rsidRPr="004D14B4">
        <w:rPr>
          <w:i/>
          <w:szCs w:val="22"/>
        </w:rPr>
        <w:t>Right to Information Act 2009</w:t>
      </w:r>
      <w:r>
        <w:rPr>
          <w:i/>
          <w:szCs w:val="22"/>
        </w:rPr>
        <w:t xml:space="preserve">, </w:t>
      </w:r>
      <w:r>
        <w:rPr>
          <w:szCs w:val="22"/>
        </w:rPr>
        <w:t>the</w:t>
      </w:r>
      <w:r w:rsidRPr="004D14B4">
        <w:rPr>
          <w:i/>
          <w:szCs w:val="22"/>
        </w:rPr>
        <w:t xml:space="preserve"> </w:t>
      </w:r>
      <w:r>
        <w:rPr>
          <w:i/>
          <w:szCs w:val="22"/>
        </w:rPr>
        <w:t xml:space="preserve">Information Privacy Act 2009 </w:t>
      </w:r>
      <w:r w:rsidRPr="00DA7708">
        <w:rPr>
          <w:szCs w:val="22"/>
        </w:rPr>
        <w:t>or any other relevant Act must not be destroyed until the action</w:t>
      </w:r>
      <w:r>
        <w:rPr>
          <w:szCs w:val="22"/>
        </w:rPr>
        <w:t>, and any applicable appeal period,</w:t>
      </w:r>
      <w:r w:rsidRPr="00DA7708">
        <w:rPr>
          <w:szCs w:val="22"/>
        </w:rPr>
        <w:t xml:space="preserve"> has been completed.</w:t>
      </w:r>
    </w:p>
    <w:p w:rsidR="009F42B7" w:rsidRPr="0054138D" w:rsidRDefault="009F42B7" w:rsidP="0054138D">
      <w:pPr>
        <w:pStyle w:val="Heading4"/>
      </w:pPr>
      <w:r w:rsidRPr="00327FF3">
        <w:t>Schedule layout</w:t>
      </w:r>
    </w:p>
    <w:p w:rsidR="009F42B7" w:rsidRPr="00370C0E" w:rsidRDefault="009F42B7" w:rsidP="00370C0E">
      <w:pPr>
        <w:spacing w:before="60" w:line="240" w:lineRule="auto"/>
      </w:pPr>
      <w:r>
        <w:t xml:space="preserve">Each class has been allocated a unique number to aid with the disposal of records. Further implementation information is available on the </w:t>
      </w:r>
      <w:hyperlink r:id="rId13" w:history="1">
        <w:r w:rsidRPr="00241EE1">
          <w:rPr>
            <w:rStyle w:val="Hyperlink"/>
          </w:rPr>
          <w:t xml:space="preserve">Queensland </w:t>
        </w:r>
        <w:r w:rsidR="00241EE1" w:rsidRPr="00241EE1">
          <w:rPr>
            <w:rStyle w:val="Hyperlink"/>
          </w:rPr>
          <w:t xml:space="preserve">Government (For Government) </w:t>
        </w:r>
        <w:r w:rsidRPr="00241EE1">
          <w:rPr>
            <w:rStyle w:val="Hyperlink"/>
          </w:rPr>
          <w:t>website</w:t>
        </w:r>
      </w:hyperlink>
      <w:r w:rsidR="00303A49" w:rsidRPr="00303A49">
        <w:t>.</w:t>
      </w:r>
      <w:bookmarkEnd w:id="4"/>
      <w:r>
        <w:t xml:space="preserve"> </w:t>
      </w:r>
    </w:p>
    <w:p w:rsidR="009F42B7" w:rsidRPr="0054138D" w:rsidRDefault="009F42B7" w:rsidP="0054138D">
      <w:pPr>
        <w:pStyle w:val="Heading4"/>
      </w:pPr>
      <w:r w:rsidRPr="00327FF3">
        <w:t xml:space="preserve">Disposal </w:t>
      </w:r>
    </w:p>
    <w:p w:rsidR="009F42B7" w:rsidRDefault="009F42B7" w:rsidP="00327FF3">
      <w:pPr>
        <w:spacing w:before="60" w:line="240" w:lineRule="auto"/>
        <w:rPr>
          <w:szCs w:val="22"/>
        </w:rPr>
      </w:pPr>
      <w:r>
        <w:rPr>
          <w:szCs w:val="22"/>
        </w:rPr>
        <w:t>No further authorisation is required from the State Archivist for the records disposed of under this schedule. However, disposal</w:t>
      </w:r>
      <w:r w:rsidRPr="003C7C3C">
        <w:rPr>
          <w:szCs w:val="22"/>
        </w:rPr>
        <w:t xml:space="preserve"> must be appropriately documented in accordance with</w:t>
      </w:r>
      <w:r w:rsidRPr="00777DD1">
        <w:rPr>
          <w:i/>
          <w:szCs w:val="22"/>
        </w:rPr>
        <w:t xml:space="preserve"> Information Standard 31: Retention and Disposal of Public Records</w:t>
      </w:r>
      <w:r w:rsidRPr="003C7C3C">
        <w:rPr>
          <w:szCs w:val="22"/>
        </w:rPr>
        <w:t>. Approval from your CEO or authorised delegate is also required prior to disposal.</w:t>
      </w:r>
    </w:p>
    <w:p w:rsidR="009F42B7" w:rsidRDefault="009F42B7" w:rsidP="00327FF3">
      <w:pPr>
        <w:spacing w:before="60" w:line="240" w:lineRule="auto"/>
        <w:rPr>
          <w:szCs w:val="22"/>
        </w:rPr>
      </w:pPr>
      <w:r>
        <w:rPr>
          <w:szCs w:val="22"/>
        </w:rPr>
        <w:t>A</w:t>
      </w:r>
      <w:r w:rsidRPr="00DC4374">
        <w:rPr>
          <w:szCs w:val="22"/>
        </w:rPr>
        <w:t xml:space="preserve">ny disposal </w:t>
      </w:r>
      <w:r>
        <w:rPr>
          <w:szCs w:val="22"/>
        </w:rPr>
        <w:t xml:space="preserve">of public records </w:t>
      </w:r>
      <w:r w:rsidRPr="00DC4374">
        <w:rPr>
          <w:szCs w:val="22"/>
        </w:rPr>
        <w:t xml:space="preserve">without authorisation from the State Archivist may be a breach of the </w:t>
      </w:r>
      <w:r w:rsidRPr="00DC4374">
        <w:rPr>
          <w:i/>
          <w:iCs/>
          <w:szCs w:val="22"/>
        </w:rPr>
        <w:t>Public Records Act 2002 (s.13).</w:t>
      </w:r>
    </w:p>
    <w:p w:rsidR="009F42B7" w:rsidRPr="0054138D" w:rsidRDefault="009F42B7" w:rsidP="0054138D">
      <w:pPr>
        <w:pStyle w:val="Heading4"/>
      </w:pPr>
      <w:r w:rsidRPr="00327FF3">
        <w:lastRenderedPageBreak/>
        <w:t>How we can help?</w:t>
      </w:r>
    </w:p>
    <w:p w:rsidR="009F42B7" w:rsidRPr="00241EE1" w:rsidRDefault="009F42B7" w:rsidP="00327FF3">
      <w:pPr>
        <w:spacing w:before="60" w:line="240" w:lineRule="auto"/>
      </w:pPr>
      <w:r w:rsidRPr="00DC4374">
        <w:rPr>
          <w:szCs w:val="22"/>
        </w:rPr>
        <w:t xml:space="preserve">More information on implementing schedules is available on the </w:t>
      </w:r>
      <w:hyperlink r:id="rId14" w:history="1">
        <w:r w:rsidR="00241EE1" w:rsidRPr="00241EE1">
          <w:rPr>
            <w:rStyle w:val="Hyperlink"/>
          </w:rPr>
          <w:t>Queensland Government (For Government) website</w:t>
        </w:r>
      </w:hyperlink>
      <w:r w:rsidR="00241EE1" w:rsidRPr="00303A49">
        <w:t>.</w:t>
      </w:r>
      <w:r w:rsidR="00241EE1">
        <w:t xml:space="preserve"> </w:t>
      </w:r>
      <w:r w:rsidRPr="00DC4374">
        <w:rPr>
          <w:szCs w:val="22"/>
        </w:rPr>
        <w:t xml:space="preserve">Any enquiries about this schedule or recordkeeping should be directed in the first instance to your </w:t>
      </w:r>
      <w:r w:rsidR="00535527">
        <w:rPr>
          <w:szCs w:val="22"/>
        </w:rPr>
        <w:t>R</w:t>
      </w:r>
      <w:r w:rsidRPr="00DC4374">
        <w:rPr>
          <w:szCs w:val="22"/>
        </w:rPr>
        <w:t xml:space="preserve">ecords </w:t>
      </w:r>
      <w:r w:rsidR="00535527">
        <w:rPr>
          <w:szCs w:val="22"/>
        </w:rPr>
        <w:t>M</w:t>
      </w:r>
      <w:r w:rsidRPr="00DC4374">
        <w:rPr>
          <w:szCs w:val="22"/>
        </w:rPr>
        <w:t xml:space="preserve">anager. If further information is required, please contact Queensland State Archives on </w:t>
      </w:r>
      <w:r>
        <w:rPr>
          <w:szCs w:val="22"/>
        </w:rPr>
        <w:t>(</w:t>
      </w:r>
      <w:r w:rsidRPr="00DC4374">
        <w:rPr>
          <w:szCs w:val="22"/>
        </w:rPr>
        <w:t>07</w:t>
      </w:r>
      <w:r>
        <w:rPr>
          <w:szCs w:val="22"/>
        </w:rPr>
        <w:t>)</w:t>
      </w:r>
      <w:r w:rsidRPr="00DC4374">
        <w:rPr>
          <w:szCs w:val="22"/>
        </w:rPr>
        <w:t xml:space="preserve"> 3</w:t>
      </w:r>
      <w:r w:rsidR="00370C0E">
        <w:rPr>
          <w:szCs w:val="22"/>
        </w:rPr>
        <w:t>037 6630 or via the</w:t>
      </w:r>
      <w:r w:rsidR="00241EE1">
        <w:t xml:space="preserve"> </w:t>
      </w:r>
      <w:hyperlink r:id="rId15" w:history="1">
        <w:r w:rsidR="00241EE1" w:rsidRPr="00241EE1">
          <w:rPr>
            <w:rStyle w:val="Hyperlink"/>
          </w:rPr>
          <w:t>Queensland Government (For Government) website</w:t>
        </w:r>
      </w:hyperlink>
      <w:r w:rsidRPr="00DC4374">
        <w:rPr>
          <w:szCs w:val="22"/>
        </w:rPr>
        <w:t xml:space="preserve">. </w:t>
      </w:r>
    </w:p>
    <w:p w:rsidR="009F42B7" w:rsidRDefault="009F42B7" w:rsidP="003D0E2F">
      <w:pPr>
        <w:tabs>
          <w:tab w:val="left" w:pos="8647"/>
        </w:tabs>
      </w:pPr>
    </w:p>
    <w:p w:rsidR="009F42B7" w:rsidRPr="006D21F3" w:rsidRDefault="009F42B7" w:rsidP="003D0E2F">
      <w:pPr>
        <w:tabs>
          <w:tab w:val="left" w:pos="8505"/>
        </w:tabs>
        <w:spacing w:before="60"/>
        <w:rPr>
          <w:sz w:val="28"/>
        </w:rPr>
      </w:pPr>
      <w:r w:rsidRPr="00327FF3">
        <w:rPr>
          <w:b/>
          <w:sz w:val="28"/>
        </w:rPr>
        <w:t xml:space="preserve">Approved by State Archivist: </w:t>
      </w:r>
      <w:r w:rsidR="006D21F3">
        <w:rPr>
          <w:sz w:val="28"/>
        </w:rPr>
        <w:t xml:space="preserve">Mike Summerell </w:t>
      </w:r>
      <w:r w:rsidRPr="00327FF3">
        <w:rPr>
          <w:b/>
          <w:sz w:val="28"/>
        </w:rPr>
        <w:tab/>
        <w:t>Date:</w:t>
      </w:r>
      <w:r w:rsidR="006D21F3">
        <w:rPr>
          <w:b/>
          <w:sz w:val="28"/>
        </w:rPr>
        <w:t xml:space="preserve"> </w:t>
      </w:r>
      <w:r w:rsidR="006D21F3" w:rsidRPr="006D21F3">
        <w:rPr>
          <w:sz w:val="28"/>
        </w:rPr>
        <w:t>21/03/2018</w:t>
      </w:r>
    </w:p>
    <w:p w:rsidR="006A7BB9" w:rsidRPr="004977CE" w:rsidRDefault="006A7BB9" w:rsidP="00327FF3">
      <w:pPr>
        <w:spacing w:before="60"/>
      </w:pPr>
    </w:p>
    <w:p w:rsidR="006A7BB9" w:rsidRPr="004977CE" w:rsidRDefault="006A7BB9" w:rsidP="00327FF3">
      <w:pPr>
        <w:pStyle w:val="Heading1"/>
        <w:spacing w:before="60" w:after="60"/>
      </w:pPr>
      <w:r w:rsidRPr="004977CE">
        <w:br w:type="page"/>
      </w:r>
      <w:bookmarkStart w:id="5" w:name="_Toc314475557"/>
      <w:bookmarkStart w:id="6" w:name="_Toc336267549"/>
      <w:r w:rsidRPr="004977CE">
        <w:lastRenderedPageBreak/>
        <w:t>Contents</w:t>
      </w:r>
      <w:bookmarkEnd w:id="5"/>
      <w:bookmarkEnd w:id="6"/>
    </w:p>
    <w:p w:rsidR="00521625" w:rsidRPr="009D4845" w:rsidRDefault="006A7BB9" w:rsidP="0054138D">
      <w:pPr>
        <w:pStyle w:val="TOC2"/>
        <w:rPr>
          <w:rFonts w:ascii="Calibri" w:hAnsi="Calibri"/>
          <w:bCs/>
          <w:szCs w:val="22"/>
        </w:rPr>
      </w:pPr>
      <w:r>
        <w:rPr>
          <w:rFonts w:cs="Arial"/>
          <w:bCs/>
          <w:color w:val="5F5F5F"/>
          <w:szCs w:val="20"/>
          <w:u w:val="single"/>
          <w:lang w:eastAsia="en-AU"/>
        </w:rPr>
        <w:fldChar w:fldCharType="begin"/>
      </w:r>
      <w:r>
        <w:rPr>
          <w:u w:val="single"/>
        </w:rPr>
        <w:instrText xml:space="preserve"> TOC \o "2-2" \u </w:instrText>
      </w:r>
      <w:r>
        <w:rPr>
          <w:rFonts w:cs="Arial"/>
          <w:bCs/>
          <w:color w:val="5F5F5F"/>
          <w:szCs w:val="20"/>
          <w:u w:val="single"/>
          <w:lang w:eastAsia="en-AU"/>
        </w:rPr>
        <w:fldChar w:fldCharType="separate"/>
      </w:r>
      <w:r w:rsidR="00521625" w:rsidRPr="00732057">
        <w:t>LEGAL SERVICES REGULATION</w:t>
      </w:r>
      <w:r w:rsidR="00521625">
        <w:tab/>
      </w:r>
      <w:r w:rsidR="00521625">
        <w:fldChar w:fldCharType="begin"/>
      </w:r>
      <w:r w:rsidR="00521625">
        <w:instrText xml:space="preserve"> PAGEREF _Toc506367663 \h </w:instrText>
      </w:r>
      <w:r w:rsidR="00521625">
        <w:fldChar w:fldCharType="separate"/>
      </w:r>
      <w:r w:rsidR="00047265">
        <w:t>5</w:t>
      </w:r>
      <w:r w:rsidR="00521625">
        <w:fldChar w:fldCharType="end"/>
      </w:r>
    </w:p>
    <w:p w:rsidR="00521625" w:rsidRPr="009D4845" w:rsidRDefault="00521625" w:rsidP="0054138D">
      <w:pPr>
        <w:pStyle w:val="TOC2"/>
        <w:rPr>
          <w:rFonts w:ascii="Calibri" w:hAnsi="Calibri"/>
          <w:bCs/>
          <w:szCs w:val="22"/>
        </w:rPr>
      </w:pPr>
      <w:r w:rsidRPr="00732057">
        <w:t>LEGAL PRACTICE COMMITTEE MANAGEMENT</w:t>
      </w:r>
      <w:r>
        <w:tab/>
      </w:r>
      <w:r>
        <w:fldChar w:fldCharType="begin"/>
      </w:r>
      <w:r>
        <w:instrText xml:space="preserve"> PAGEREF _Toc506367664 \h </w:instrText>
      </w:r>
      <w:r>
        <w:fldChar w:fldCharType="separate"/>
      </w:r>
      <w:r w:rsidR="00047265">
        <w:t>8</w:t>
      </w:r>
      <w:r>
        <w:fldChar w:fldCharType="end"/>
      </w:r>
    </w:p>
    <w:p w:rsidR="006A7BB9" w:rsidRPr="004977CE" w:rsidRDefault="006A7BB9" w:rsidP="00327FF3">
      <w:pPr>
        <w:tabs>
          <w:tab w:val="right" w:pos="720"/>
          <w:tab w:val="right" w:leader="dot" w:pos="9361"/>
        </w:tabs>
        <w:spacing w:before="60"/>
      </w:pPr>
      <w:r>
        <w:rPr>
          <w:b/>
          <w:u w:val="single"/>
        </w:rPr>
        <w:fldChar w:fldCharType="end"/>
      </w:r>
    </w:p>
    <w:p w:rsidR="006A7BB9" w:rsidRPr="0054138D" w:rsidRDefault="006A7BB9" w:rsidP="00327FF3">
      <w:pPr>
        <w:pStyle w:val="Heading1"/>
        <w:spacing w:before="60" w:after="60" w:line="240" w:lineRule="auto"/>
        <w:rPr>
          <w:rStyle w:val="Heading2Char"/>
          <w:sz w:val="36"/>
        </w:rPr>
      </w:pPr>
      <w:r w:rsidRPr="004977CE">
        <w:br w:type="page"/>
      </w:r>
      <w:bookmarkStart w:id="7" w:name="_Toc506367663"/>
      <w:r w:rsidR="00521625" w:rsidRPr="0054138D">
        <w:rPr>
          <w:rStyle w:val="Heading2Char"/>
          <w:b/>
          <w:bCs w:val="0"/>
          <w:sz w:val="36"/>
          <w:szCs w:val="36"/>
        </w:rPr>
        <w:lastRenderedPageBreak/>
        <w:t>LEGAL SERVICES REGULATION</w:t>
      </w:r>
      <w:bookmarkEnd w:id="7"/>
    </w:p>
    <w:p w:rsidR="00521625" w:rsidRPr="00521625" w:rsidRDefault="00521625" w:rsidP="00521625">
      <w:pPr>
        <w:spacing w:before="60" w:line="240" w:lineRule="auto"/>
        <w:rPr>
          <w:rFonts w:cs="Arial"/>
          <w:b/>
          <w:bCs/>
          <w:i/>
          <w:szCs w:val="22"/>
        </w:rPr>
      </w:pPr>
      <w:r w:rsidRPr="00521625">
        <w:rPr>
          <w:rFonts w:cs="Arial"/>
          <w:i/>
          <w:szCs w:val="22"/>
        </w:rPr>
        <w:t>The function of regulating Queensland’s legal services through receiving, processing and managing complaints about individual legal practitioners or law practices; initiating ‘own motion’ investigations as appropriate; conducting compliance audits of incorporated legal practices and multi-disciplinary partnerships; commencing disciplinary or other regulatory action as appropriate; and undertaking related policy development and educational activities.</w:t>
      </w:r>
    </w:p>
    <w:p w:rsidR="006A7BB9" w:rsidRPr="00521625" w:rsidRDefault="006A7BB9" w:rsidP="00327FF3">
      <w:pPr>
        <w:spacing w:before="60" w:line="240" w:lineRule="auto"/>
        <w:rPr>
          <w:i/>
        </w:rPr>
      </w:pPr>
    </w:p>
    <w:tbl>
      <w:tblPr>
        <w:tblW w:w="5005" w:type="pct"/>
        <w:tblInd w:w="-1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left w:w="113" w:type="dxa"/>
          <w:bottom w:w="28" w:type="dxa"/>
          <w:right w:w="113" w:type="dxa"/>
        </w:tblCellMar>
        <w:tblLook w:val="01E0" w:firstRow="1" w:lastRow="1" w:firstColumn="1" w:lastColumn="1" w:noHBand="0" w:noVBand="0"/>
      </w:tblPr>
      <w:tblGrid>
        <w:gridCol w:w="1526"/>
        <w:gridCol w:w="9254"/>
        <w:gridCol w:w="2553"/>
        <w:gridCol w:w="1808"/>
      </w:tblGrid>
      <w:tr w:rsidR="0054138D" w:rsidRPr="00521625" w:rsidTr="0054138D">
        <w:trPr>
          <w:tblHeader/>
        </w:trPr>
        <w:tc>
          <w:tcPr>
            <w:tcW w:w="504" w:type="pct"/>
            <w:tcBorders>
              <w:top w:val="single" w:sz="4" w:space="0" w:color="C0C0C0"/>
              <w:left w:val="single" w:sz="4" w:space="0" w:color="C0C0C0"/>
              <w:bottom w:val="single" w:sz="18" w:space="0" w:color="C0C0C0"/>
              <w:right w:val="single" w:sz="4" w:space="0" w:color="C0C0C0"/>
              <w:tl2br w:val="nil"/>
              <w:tr2bl w:val="nil"/>
            </w:tcBorders>
            <w:shd w:val="clear" w:color="auto" w:fill="FFFFFF"/>
          </w:tcPr>
          <w:p w:rsidR="0054138D" w:rsidRPr="00521625" w:rsidRDefault="0054138D" w:rsidP="00327FF3">
            <w:pPr>
              <w:pStyle w:val="Tabletext"/>
              <w:spacing w:before="60" w:after="60" w:line="240" w:lineRule="auto"/>
              <w:jc w:val="center"/>
              <w:rPr>
                <w:b/>
              </w:rPr>
            </w:pPr>
            <w:r w:rsidRPr="00521625">
              <w:rPr>
                <w:b/>
              </w:rPr>
              <w:t>Disposal Authorisation</w:t>
            </w:r>
          </w:p>
        </w:tc>
        <w:tc>
          <w:tcPr>
            <w:tcW w:w="3056" w:type="pct"/>
            <w:tcBorders>
              <w:top w:val="single" w:sz="4" w:space="0" w:color="C0C0C0"/>
              <w:left w:val="single" w:sz="4" w:space="0" w:color="C0C0C0"/>
              <w:bottom w:val="single" w:sz="18" w:space="0" w:color="C0C0C0"/>
              <w:right w:val="single" w:sz="4" w:space="0" w:color="C0C0C0"/>
              <w:tl2br w:val="nil"/>
              <w:tr2bl w:val="nil"/>
            </w:tcBorders>
            <w:shd w:val="clear" w:color="auto" w:fill="FFFFFF"/>
          </w:tcPr>
          <w:p w:rsidR="0054138D" w:rsidRPr="00521625" w:rsidRDefault="0054138D" w:rsidP="00327FF3">
            <w:pPr>
              <w:pStyle w:val="Tabletext"/>
              <w:spacing w:before="60" w:after="60" w:line="240" w:lineRule="auto"/>
              <w:jc w:val="center"/>
              <w:rPr>
                <w:b/>
              </w:rPr>
            </w:pPr>
            <w:r w:rsidRPr="00521625">
              <w:rPr>
                <w:b/>
              </w:rPr>
              <w:t>Description of records</w:t>
            </w:r>
          </w:p>
        </w:tc>
        <w:tc>
          <w:tcPr>
            <w:tcW w:w="843" w:type="pct"/>
            <w:tcBorders>
              <w:top w:val="single" w:sz="4" w:space="0" w:color="C0C0C0"/>
              <w:left w:val="single" w:sz="4" w:space="0" w:color="C0C0C0"/>
              <w:bottom w:val="single" w:sz="18" w:space="0" w:color="C0C0C0"/>
              <w:right w:val="single" w:sz="4" w:space="0" w:color="C0C0C0"/>
              <w:tl2br w:val="nil"/>
              <w:tr2bl w:val="nil"/>
            </w:tcBorders>
            <w:shd w:val="clear" w:color="auto" w:fill="FFFFFF"/>
          </w:tcPr>
          <w:p w:rsidR="0054138D" w:rsidRPr="00521625" w:rsidRDefault="0054138D" w:rsidP="00327FF3">
            <w:pPr>
              <w:pStyle w:val="Tabletext"/>
              <w:spacing w:before="60" w:after="60" w:line="240" w:lineRule="auto"/>
              <w:jc w:val="center"/>
              <w:rPr>
                <w:b/>
              </w:rPr>
            </w:pPr>
            <w:r w:rsidRPr="00521625">
              <w:rPr>
                <w:b/>
              </w:rPr>
              <w:t>Retention period &amp; trigger</w:t>
            </w:r>
          </w:p>
        </w:tc>
        <w:tc>
          <w:tcPr>
            <w:tcW w:w="597" w:type="pct"/>
            <w:tcBorders>
              <w:top w:val="single" w:sz="4" w:space="0" w:color="C0C0C0"/>
              <w:left w:val="single" w:sz="4" w:space="0" w:color="C0C0C0"/>
              <w:bottom w:val="single" w:sz="18" w:space="0" w:color="C0C0C0"/>
              <w:right w:val="single" w:sz="4" w:space="0" w:color="C0C0C0"/>
              <w:tl2br w:val="nil"/>
              <w:tr2bl w:val="nil"/>
            </w:tcBorders>
            <w:shd w:val="clear" w:color="auto" w:fill="FFFFFF"/>
          </w:tcPr>
          <w:p w:rsidR="0054138D" w:rsidRPr="00521625" w:rsidRDefault="0054138D" w:rsidP="00327FF3">
            <w:pPr>
              <w:pStyle w:val="Tabletext"/>
              <w:spacing w:before="60" w:after="60" w:line="240" w:lineRule="auto"/>
              <w:jc w:val="center"/>
              <w:rPr>
                <w:b/>
              </w:rPr>
            </w:pPr>
            <w:r>
              <w:rPr>
                <w:b/>
              </w:rPr>
              <w:t>Date authorised</w:t>
            </w:r>
          </w:p>
        </w:tc>
      </w:tr>
      <w:tr w:rsidR="0054138D" w:rsidRPr="00521625" w:rsidTr="0054138D">
        <w:tblPrEx>
          <w:tblCellMar>
            <w:top w:w="57" w:type="dxa"/>
            <w:left w:w="119" w:type="dxa"/>
            <w:right w:w="119" w:type="dxa"/>
          </w:tblCellMar>
        </w:tblPrEx>
        <w:tc>
          <w:tcPr>
            <w:tcW w:w="4999" w:type="pct"/>
            <w:gridSpan w:val="4"/>
            <w:shd w:val="clear" w:color="auto" w:fill="auto"/>
          </w:tcPr>
          <w:p w:rsidR="0054138D" w:rsidRPr="0054138D" w:rsidRDefault="0054138D" w:rsidP="0054138D">
            <w:pPr>
              <w:pStyle w:val="Heading2"/>
            </w:pPr>
            <w:r w:rsidRPr="0054138D">
              <w:t>COMPLAINTS MANAGEMENT</w:t>
            </w:r>
          </w:p>
          <w:p w:rsidR="0054138D" w:rsidRPr="00521625" w:rsidRDefault="0054138D" w:rsidP="00521625">
            <w:pPr>
              <w:pStyle w:val="Tabletext"/>
              <w:spacing w:before="60" w:after="60" w:line="240" w:lineRule="auto"/>
              <w:rPr>
                <w:rFonts w:cs="Arial"/>
                <w:i/>
                <w:sz w:val="22"/>
                <w:szCs w:val="22"/>
              </w:rPr>
            </w:pPr>
            <w:r w:rsidRPr="00521625">
              <w:rPr>
                <w:rFonts w:cs="Arial"/>
                <w:i/>
                <w:sz w:val="22"/>
                <w:szCs w:val="22"/>
              </w:rPr>
              <w:t>Activities associated with receiving and dealing with complaints, including ‘own motion’ investigations about the conduct of legal practitioners and law practice employees, responding to enquiries regarding the making of a complaint and initiating disciplinary action against legal practitioners and law practice employees. Complaints management includes activities associated with maintaining a discipline register.</w:t>
            </w:r>
          </w:p>
          <w:p w:rsidR="0054138D" w:rsidRPr="00521625" w:rsidRDefault="0054138D" w:rsidP="00521625">
            <w:pPr>
              <w:pStyle w:val="Tabletext"/>
              <w:spacing w:before="0" w:after="60" w:line="240" w:lineRule="auto"/>
              <w:rPr>
                <w:rFonts w:cs="Arial"/>
                <w:i/>
                <w:sz w:val="22"/>
                <w:szCs w:val="22"/>
              </w:rPr>
            </w:pPr>
            <w:r w:rsidRPr="00521625">
              <w:rPr>
                <w:rFonts w:cs="Arial"/>
                <w:i/>
                <w:sz w:val="22"/>
                <w:szCs w:val="22"/>
              </w:rPr>
              <w:t xml:space="preserve">Note: Complaint investigation records managed on behalf of the Queensland Law Society are not covered by this Schedule. </w:t>
            </w:r>
          </w:p>
          <w:p w:rsidR="0054138D" w:rsidRPr="0054138D" w:rsidRDefault="0054138D" w:rsidP="00327FF3">
            <w:pPr>
              <w:pStyle w:val="Heading30"/>
              <w:spacing w:before="60" w:after="60"/>
              <w:rPr>
                <w:b w:val="0"/>
              </w:rPr>
            </w:pPr>
            <w:r w:rsidRPr="0054138D">
              <w:rPr>
                <w:rFonts w:cs="Arial"/>
                <w:b w:val="0"/>
                <w:i/>
              </w:rPr>
              <w:t>Please refer to the Queensland Law Society Retention and Disposal Schedule QDAN 674 for these records.</w:t>
            </w:r>
          </w:p>
        </w:tc>
      </w:tr>
      <w:tr w:rsidR="0054138D" w:rsidRPr="00521625" w:rsidTr="0054138D">
        <w:tblPrEx>
          <w:tblCellMar>
            <w:top w:w="57" w:type="dxa"/>
            <w:left w:w="119" w:type="dxa"/>
            <w:right w:w="119" w:type="dxa"/>
          </w:tblCellMar>
        </w:tblPrEx>
        <w:tc>
          <w:tcPr>
            <w:tcW w:w="504" w:type="pct"/>
            <w:shd w:val="clear" w:color="auto" w:fill="auto"/>
          </w:tcPr>
          <w:p w:rsidR="0054138D" w:rsidRPr="00521625" w:rsidRDefault="0054138D" w:rsidP="00327FF3">
            <w:pPr>
              <w:pStyle w:val="Tabletext"/>
              <w:spacing w:before="60" w:after="60" w:line="240" w:lineRule="auto"/>
              <w:rPr>
                <w:sz w:val="22"/>
                <w:szCs w:val="22"/>
              </w:rPr>
            </w:pPr>
            <w:r>
              <w:rPr>
                <w:sz w:val="22"/>
                <w:szCs w:val="22"/>
              </w:rPr>
              <w:t>2080</w:t>
            </w:r>
          </w:p>
        </w:tc>
        <w:tc>
          <w:tcPr>
            <w:tcW w:w="3056" w:type="pct"/>
            <w:shd w:val="clear" w:color="auto" w:fill="auto"/>
          </w:tcPr>
          <w:p w:rsidR="0054138D" w:rsidRPr="0054138D" w:rsidRDefault="0054138D" w:rsidP="0054138D">
            <w:pPr>
              <w:pStyle w:val="Heading3"/>
            </w:pPr>
            <w:r w:rsidRPr="0054138D">
              <w:t xml:space="preserve">Discipline register </w:t>
            </w:r>
          </w:p>
          <w:p w:rsidR="0054138D" w:rsidRPr="00521625" w:rsidRDefault="0054138D" w:rsidP="00521625">
            <w:pPr>
              <w:spacing w:before="60"/>
              <w:rPr>
                <w:rFonts w:cs="Arial"/>
                <w:szCs w:val="22"/>
                <w:lang w:val="en-GB"/>
              </w:rPr>
            </w:pPr>
            <w:r w:rsidRPr="00521625">
              <w:rPr>
                <w:rFonts w:cs="Arial"/>
                <w:szCs w:val="22"/>
                <w:lang w:val="en-GB"/>
              </w:rPr>
              <w:t xml:space="preserve">A discipline register kept in accordance with section 472 of the </w:t>
            </w:r>
            <w:r w:rsidRPr="00521625">
              <w:rPr>
                <w:rFonts w:cs="Arial"/>
                <w:i/>
                <w:iCs/>
                <w:szCs w:val="22"/>
                <w:lang w:val="en-GB"/>
              </w:rPr>
              <w:t xml:space="preserve">Legal Profession Act 2007 </w:t>
            </w:r>
            <w:r w:rsidRPr="00521625">
              <w:rPr>
                <w:rFonts w:cs="Arial"/>
                <w:iCs/>
                <w:szCs w:val="22"/>
                <w:lang w:val="en-GB"/>
              </w:rPr>
              <w:t>records details</w:t>
            </w:r>
            <w:r w:rsidRPr="00521625">
              <w:rPr>
                <w:rFonts w:cs="Arial"/>
                <w:i/>
                <w:iCs/>
                <w:szCs w:val="22"/>
                <w:lang w:val="en-GB"/>
              </w:rPr>
              <w:t xml:space="preserve"> </w:t>
            </w:r>
            <w:r w:rsidRPr="00521625">
              <w:rPr>
                <w:rFonts w:cs="Arial"/>
                <w:iCs/>
                <w:szCs w:val="22"/>
                <w:lang w:val="en-GB"/>
              </w:rPr>
              <w:t xml:space="preserve">of disciplinary actions made by an order of a court or disciplinary body </w:t>
            </w:r>
            <w:r w:rsidRPr="00521625">
              <w:rPr>
                <w:rFonts w:cs="Arial"/>
                <w:szCs w:val="22"/>
                <w:lang w:val="en-GB"/>
              </w:rPr>
              <w:t xml:space="preserve">e.g. Queensland Civil and Administrative Tribunal (QCAT) and Legal Practice Committee (LPC) that finds a practitioner guilty of professional misconduct. The Legal Services Commissioner must make the register available for public inspection. </w:t>
            </w:r>
          </w:p>
          <w:p w:rsidR="0054138D" w:rsidRPr="00521625" w:rsidRDefault="0054138D" w:rsidP="00521625">
            <w:pPr>
              <w:spacing w:before="60"/>
              <w:rPr>
                <w:rFonts w:cs="Arial"/>
                <w:szCs w:val="22"/>
              </w:rPr>
            </w:pPr>
            <w:r w:rsidRPr="00521625">
              <w:rPr>
                <w:rFonts w:cs="Arial"/>
                <w:szCs w:val="22"/>
              </w:rPr>
              <w:t>Information captured  includes, but is not limited to:</w:t>
            </w:r>
          </w:p>
          <w:p w:rsidR="0054138D" w:rsidRPr="00521625" w:rsidRDefault="0054138D" w:rsidP="00521625">
            <w:pPr>
              <w:widowControl w:val="0"/>
              <w:numPr>
                <w:ilvl w:val="0"/>
                <w:numId w:val="19"/>
              </w:numPr>
              <w:tabs>
                <w:tab w:val="clear" w:pos="1080"/>
                <w:tab w:val="num" w:pos="763"/>
              </w:tabs>
              <w:overflowPunct w:val="0"/>
              <w:autoSpaceDE w:val="0"/>
              <w:autoSpaceDN w:val="0"/>
              <w:adjustRightInd w:val="0"/>
              <w:spacing w:before="60" w:line="240" w:lineRule="auto"/>
              <w:ind w:left="763"/>
              <w:textAlignment w:val="baseline"/>
              <w:rPr>
                <w:rFonts w:cs="Arial"/>
                <w:szCs w:val="22"/>
              </w:rPr>
            </w:pPr>
            <w:r w:rsidRPr="00521625">
              <w:rPr>
                <w:rFonts w:cs="Arial"/>
                <w:szCs w:val="22"/>
              </w:rPr>
              <w:t>full name of person against whom disciplinary action was taken</w:t>
            </w:r>
          </w:p>
          <w:p w:rsidR="0054138D" w:rsidRPr="00521625" w:rsidRDefault="0054138D" w:rsidP="00521625">
            <w:pPr>
              <w:widowControl w:val="0"/>
              <w:numPr>
                <w:ilvl w:val="0"/>
                <w:numId w:val="19"/>
              </w:numPr>
              <w:tabs>
                <w:tab w:val="clear" w:pos="1080"/>
                <w:tab w:val="num" w:pos="763"/>
              </w:tabs>
              <w:overflowPunct w:val="0"/>
              <w:autoSpaceDE w:val="0"/>
              <w:autoSpaceDN w:val="0"/>
              <w:adjustRightInd w:val="0"/>
              <w:spacing w:before="60" w:line="240" w:lineRule="auto"/>
              <w:ind w:left="763"/>
              <w:textAlignment w:val="baseline"/>
              <w:rPr>
                <w:rFonts w:cs="Arial"/>
                <w:szCs w:val="22"/>
              </w:rPr>
            </w:pPr>
            <w:r w:rsidRPr="00521625">
              <w:rPr>
                <w:rFonts w:cs="Arial"/>
                <w:szCs w:val="22"/>
              </w:rPr>
              <w:t>law practice who employed person</w:t>
            </w:r>
          </w:p>
          <w:p w:rsidR="0054138D" w:rsidRPr="00521625" w:rsidRDefault="0054138D" w:rsidP="00521625">
            <w:pPr>
              <w:widowControl w:val="0"/>
              <w:numPr>
                <w:ilvl w:val="0"/>
                <w:numId w:val="19"/>
              </w:numPr>
              <w:tabs>
                <w:tab w:val="clear" w:pos="1080"/>
                <w:tab w:val="num" w:pos="763"/>
              </w:tabs>
              <w:overflowPunct w:val="0"/>
              <w:autoSpaceDE w:val="0"/>
              <w:autoSpaceDN w:val="0"/>
              <w:adjustRightInd w:val="0"/>
              <w:spacing w:before="60" w:line="240" w:lineRule="auto"/>
              <w:ind w:left="763"/>
              <w:textAlignment w:val="baseline"/>
              <w:rPr>
                <w:rFonts w:cs="Arial"/>
                <w:szCs w:val="22"/>
              </w:rPr>
            </w:pPr>
            <w:r w:rsidRPr="00521625">
              <w:rPr>
                <w:rFonts w:cs="Arial"/>
                <w:szCs w:val="22"/>
              </w:rPr>
              <w:t xml:space="preserve">disciplinary body </w:t>
            </w:r>
            <w:r w:rsidRPr="00521625">
              <w:rPr>
                <w:rFonts w:cs="Arial"/>
                <w:szCs w:val="22"/>
                <w:lang w:val="en-GB"/>
              </w:rPr>
              <w:t xml:space="preserve">(e.g. Queensland Civil and Administrative Tribunal (QCAT) and Legal Practice Committee) </w:t>
            </w:r>
            <w:r w:rsidRPr="00521625">
              <w:rPr>
                <w:rFonts w:cs="Arial"/>
                <w:szCs w:val="22"/>
              </w:rPr>
              <w:t>which ordered the disciplinary action</w:t>
            </w:r>
          </w:p>
          <w:p w:rsidR="0054138D" w:rsidRPr="00521625" w:rsidRDefault="0054138D" w:rsidP="00521625">
            <w:pPr>
              <w:pStyle w:val="Heading30"/>
              <w:numPr>
                <w:ilvl w:val="0"/>
                <w:numId w:val="19"/>
              </w:numPr>
              <w:tabs>
                <w:tab w:val="clear" w:pos="1080"/>
                <w:tab w:val="num" w:pos="763"/>
              </w:tabs>
              <w:spacing w:before="60" w:after="60"/>
              <w:ind w:left="763"/>
              <w:rPr>
                <w:b w:val="0"/>
              </w:rPr>
            </w:pPr>
            <w:r w:rsidRPr="00521625">
              <w:rPr>
                <w:rFonts w:cs="Arial"/>
                <w:b w:val="0"/>
              </w:rPr>
              <w:t>findings and penalty of the disciplinary body.</w:t>
            </w:r>
          </w:p>
        </w:tc>
        <w:tc>
          <w:tcPr>
            <w:tcW w:w="842" w:type="pct"/>
            <w:shd w:val="clear" w:color="auto" w:fill="auto"/>
          </w:tcPr>
          <w:p w:rsidR="0054138D" w:rsidRPr="00521625" w:rsidRDefault="0054138D" w:rsidP="00521625">
            <w:pPr>
              <w:pStyle w:val="Tabletext"/>
              <w:spacing w:before="60" w:after="60" w:line="240" w:lineRule="auto"/>
              <w:rPr>
                <w:sz w:val="22"/>
                <w:szCs w:val="22"/>
              </w:rPr>
            </w:pPr>
            <w:r w:rsidRPr="00521625">
              <w:rPr>
                <w:sz w:val="22"/>
                <w:szCs w:val="22"/>
              </w:rPr>
              <w:t xml:space="preserve">Permanent. </w:t>
            </w:r>
          </w:p>
          <w:p w:rsidR="0054138D" w:rsidRPr="00521625" w:rsidRDefault="0054138D" w:rsidP="00521625">
            <w:pPr>
              <w:pStyle w:val="Tabletext"/>
              <w:spacing w:before="60" w:after="60" w:line="240" w:lineRule="auto"/>
            </w:pPr>
            <w:r w:rsidRPr="00521625">
              <w:rPr>
                <w:sz w:val="22"/>
                <w:szCs w:val="22"/>
              </w:rPr>
              <w:t>Retain in agency.</w:t>
            </w:r>
          </w:p>
        </w:tc>
        <w:tc>
          <w:tcPr>
            <w:tcW w:w="597" w:type="pct"/>
          </w:tcPr>
          <w:p w:rsidR="0054138D" w:rsidRPr="00521625" w:rsidRDefault="0054138D" w:rsidP="00521625">
            <w:pPr>
              <w:pStyle w:val="Tabletext"/>
              <w:spacing w:before="60" w:after="60" w:line="240" w:lineRule="auto"/>
              <w:rPr>
                <w:sz w:val="22"/>
                <w:szCs w:val="22"/>
              </w:rPr>
            </w:pPr>
            <w:r>
              <w:rPr>
                <w:sz w:val="22"/>
                <w:szCs w:val="22"/>
              </w:rPr>
              <w:t>21 March 2018</w:t>
            </w:r>
          </w:p>
        </w:tc>
      </w:tr>
      <w:tr w:rsidR="0054138D" w:rsidRPr="00521625" w:rsidTr="0054138D">
        <w:tblPrEx>
          <w:tblCellMar>
            <w:top w:w="57" w:type="dxa"/>
            <w:left w:w="119" w:type="dxa"/>
            <w:right w:w="119" w:type="dxa"/>
          </w:tblCellMar>
        </w:tblPrEx>
        <w:tc>
          <w:tcPr>
            <w:tcW w:w="504" w:type="pct"/>
            <w:shd w:val="clear" w:color="auto" w:fill="auto"/>
          </w:tcPr>
          <w:p w:rsidR="0054138D" w:rsidRPr="00521625" w:rsidRDefault="0054138D" w:rsidP="0054138D">
            <w:pPr>
              <w:pStyle w:val="Tabletext"/>
              <w:spacing w:before="60" w:after="60" w:line="240" w:lineRule="auto"/>
              <w:rPr>
                <w:sz w:val="22"/>
                <w:szCs w:val="22"/>
              </w:rPr>
            </w:pPr>
            <w:r>
              <w:rPr>
                <w:sz w:val="22"/>
                <w:szCs w:val="22"/>
              </w:rPr>
              <w:t>2081</w:t>
            </w:r>
          </w:p>
        </w:tc>
        <w:tc>
          <w:tcPr>
            <w:tcW w:w="3056" w:type="pct"/>
            <w:shd w:val="clear" w:color="auto" w:fill="auto"/>
          </w:tcPr>
          <w:p w:rsidR="0054138D" w:rsidRPr="00521625" w:rsidRDefault="0054138D" w:rsidP="0054138D">
            <w:pPr>
              <w:pStyle w:val="Heading3"/>
            </w:pPr>
            <w:r w:rsidRPr="00521625">
              <w:t xml:space="preserve">Complaints management </w:t>
            </w:r>
          </w:p>
          <w:p w:rsidR="0054138D" w:rsidRPr="00521625" w:rsidRDefault="0054138D" w:rsidP="0054138D">
            <w:pPr>
              <w:widowControl w:val="0"/>
              <w:overflowPunct w:val="0"/>
              <w:autoSpaceDE w:val="0"/>
              <w:autoSpaceDN w:val="0"/>
              <w:adjustRightInd w:val="0"/>
              <w:spacing w:before="60"/>
              <w:textAlignment w:val="baseline"/>
              <w:rPr>
                <w:rFonts w:cs="Arial"/>
                <w:szCs w:val="22"/>
              </w:rPr>
            </w:pPr>
            <w:bookmarkStart w:id="8" w:name="Text7"/>
            <w:r w:rsidRPr="00521625">
              <w:rPr>
                <w:rFonts w:cs="Arial"/>
                <w:szCs w:val="22"/>
              </w:rPr>
              <w:t xml:space="preserve">Records relating to complaints made pursuant to the </w:t>
            </w:r>
            <w:r w:rsidRPr="00521625">
              <w:rPr>
                <w:rFonts w:cs="Arial"/>
                <w:i/>
                <w:szCs w:val="22"/>
              </w:rPr>
              <w:t>Legal Profession Act 2007.</w:t>
            </w:r>
            <w:r w:rsidRPr="00521625">
              <w:rPr>
                <w:rFonts w:cs="Arial"/>
                <w:szCs w:val="22"/>
              </w:rPr>
              <w:t xml:space="preserve"> Includes hard copy files and entries in case management system.</w:t>
            </w:r>
          </w:p>
          <w:p w:rsidR="0054138D" w:rsidRPr="00521625" w:rsidRDefault="0054138D" w:rsidP="0054138D">
            <w:pPr>
              <w:widowControl w:val="0"/>
              <w:overflowPunct w:val="0"/>
              <w:autoSpaceDE w:val="0"/>
              <w:autoSpaceDN w:val="0"/>
              <w:adjustRightInd w:val="0"/>
              <w:spacing w:before="60"/>
              <w:textAlignment w:val="baseline"/>
              <w:rPr>
                <w:rFonts w:cs="Arial"/>
                <w:szCs w:val="22"/>
              </w:rPr>
            </w:pPr>
            <w:r w:rsidRPr="00521625">
              <w:rPr>
                <w:rFonts w:cs="Arial"/>
                <w:szCs w:val="22"/>
              </w:rPr>
              <w:t xml:space="preserve">Includes dismissed, withdrawn, delayed or prosecuted complaints. </w:t>
            </w:r>
          </w:p>
          <w:p w:rsidR="0054138D" w:rsidRPr="00521625" w:rsidRDefault="0054138D" w:rsidP="0054138D">
            <w:pPr>
              <w:widowControl w:val="0"/>
              <w:overflowPunct w:val="0"/>
              <w:autoSpaceDE w:val="0"/>
              <w:autoSpaceDN w:val="0"/>
              <w:adjustRightInd w:val="0"/>
              <w:spacing w:before="60"/>
              <w:textAlignment w:val="baseline"/>
              <w:rPr>
                <w:rFonts w:cs="Arial"/>
                <w:szCs w:val="22"/>
              </w:rPr>
            </w:pPr>
            <w:r w:rsidRPr="00521625">
              <w:rPr>
                <w:rFonts w:cs="Arial"/>
                <w:szCs w:val="22"/>
              </w:rPr>
              <w:lastRenderedPageBreak/>
              <w:t>Records may include, but are not limited to:</w:t>
            </w:r>
          </w:p>
          <w:p w:rsidR="0054138D" w:rsidRPr="00521625" w:rsidRDefault="0054138D" w:rsidP="0054138D">
            <w:pPr>
              <w:widowControl w:val="0"/>
              <w:numPr>
                <w:ilvl w:val="0"/>
                <w:numId w:val="21"/>
              </w:numPr>
              <w:tabs>
                <w:tab w:val="clear" w:pos="1080"/>
                <w:tab w:val="num" w:pos="763"/>
              </w:tabs>
              <w:overflowPunct w:val="0"/>
              <w:autoSpaceDE w:val="0"/>
              <w:autoSpaceDN w:val="0"/>
              <w:adjustRightInd w:val="0"/>
              <w:spacing w:before="60" w:line="240" w:lineRule="auto"/>
              <w:ind w:left="763"/>
              <w:textAlignment w:val="baseline"/>
              <w:rPr>
                <w:rFonts w:cs="Arial"/>
                <w:szCs w:val="22"/>
              </w:rPr>
            </w:pPr>
            <w:r w:rsidRPr="00521625">
              <w:rPr>
                <w:rFonts w:cs="Arial"/>
                <w:szCs w:val="22"/>
              </w:rPr>
              <w:t xml:space="preserve">written complaints </w:t>
            </w:r>
            <w:r w:rsidRPr="00521625">
              <w:rPr>
                <w:rFonts w:cs="Arial"/>
                <w:szCs w:val="22"/>
                <w:lang w:val="en-GB"/>
              </w:rPr>
              <w:t>from legal consumers, other legal practitioners and the Queensland Law Society or Bar Association of Queensland about the conduct of legal practitioners and law practice employees</w:t>
            </w:r>
          </w:p>
          <w:p w:rsidR="0054138D" w:rsidRPr="00521625" w:rsidRDefault="0054138D" w:rsidP="0054138D">
            <w:pPr>
              <w:widowControl w:val="0"/>
              <w:numPr>
                <w:ilvl w:val="0"/>
                <w:numId w:val="21"/>
              </w:numPr>
              <w:tabs>
                <w:tab w:val="clear" w:pos="1080"/>
                <w:tab w:val="num" w:pos="763"/>
              </w:tabs>
              <w:overflowPunct w:val="0"/>
              <w:autoSpaceDE w:val="0"/>
              <w:autoSpaceDN w:val="0"/>
              <w:adjustRightInd w:val="0"/>
              <w:spacing w:before="60" w:line="240" w:lineRule="auto"/>
              <w:ind w:left="763"/>
              <w:textAlignment w:val="baseline"/>
              <w:rPr>
                <w:rFonts w:cs="Arial"/>
                <w:szCs w:val="22"/>
              </w:rPr>
            </w:pPr>
            <w:r w:rsidRPr="00521625">
              <w:rPr>
                <w:rFonts w:cs="Arial"/>
                <w:szCs w:val="22"/>
              </w:rPr>
              <w:t>investigation reports listing the evidence gathered throughout the investigation and recommendations from the Queensland Law Society, Bar Association of Queensland or the Legal Services Commission including ‘own motion’ investigations</w:t>
            </w:r>
          </w:p>
          <w:p w:rsidR="0054138D" w:rsidRPr="00521625" w:rsidRDefault="0054138D" w:rsidP="0054138D">
            <w:pPr>
              <w:widowControl w:val="0"/>
              <w:numPr>
                <w:ilvl w:val="0"/>
                <w:numId w:val="21"/>
              </w:numPr>
              <w:tabs>
                <w:tab w:val="clear" w:pos="1080"/>
                <w:tab w:val="num" w:pos="763"/>
              </w:tabs>
              <w:overflowPunct w:val="0"/>
              <w:autoSpaceDE w:val="0"/>
              <w:autoSpaceDN w:val="0"/>
              <w:adjustRightInd w:val="0"/>
              <w:spacing w:before="60" w:line="240" w:lineRule="auto"/>
              <w:ind w:left="763"/>
              <w:textAlignment w:val="baseline"/>
              <w:rPr>
                <w:rFonts w:cs="Arial"/>
                <w:szCs w:val="22"/>
              </w:rPr>
            </w:pPr>
            <w:r w:rsidRPr="00521625">
              <w:rPr>
                <w:rFonts w:cs="Arial"/>
                <w:szCs w:val="22"/>
              </w:rPr>
              <w:t>recommendations of the Legal Services Commissioner as to what action is to be taken regarding the complaint</w:t>
            </w:r>
          </w:p>
          <w:p w:rsidR="0054138D" w:rsidRPr="00521625" w:rsidRDefault="0054138D" w:rsidP="0054138D">
            <w:pPr>
              <w:widowControl w:val="0"/>
              <w:numPr>
                <w:ilvl w:val="0"/>
                <w:numId w:val="21"/>
              </w:numPr>
              <w:tabs>
                <w:tab w:val="clear" w:pos="1080"/>
                <w:tab w:val="num" w:pos="763"/>
              </w:tabs>
              <w:overflowPunct w:val="0"/>
              <w:autoSpaceDE w:val="0"/>
              <w:autoSpaceDN w:val="0"/>
              <w:adjustRightInd w:val="0"/>
              <w:spacing w:before="60" w:line="240" w:lineRule="auto"/>
              <w:ind w:left="763"/>
              <w:textAlignment w:val="baseline"/>
              <w:rPr>
                <w:rFonts w:cs="Arial"/>
                <w:szCs w:val="22"/>
              </w:rPr>
            </w:pPr>
            <w:r w:rsidRPr="00521625">
              <w:rPr>
                <w:rFonts w:cs="Arial"/>
                <w:szCs w:val="22"/>
              </w:rPr>
              <w:t xml:space="preserve">correspondence with practitioners, complainants and professional bodies </w:t>
            </w:r>
          </w:p>
          <w:p w:rsidR="0054138D" w:rsidRPr="00521625" w:rsidRDefault="0054138D" w:rsidP="0054138D">
            <w:pPr>
              <w:pStyle w:val="Tablesub-heading"/>
              <w:numPr>
                <w:ilvl w:val="0"/>
                <w:numId w:val="21"/>
              </w:numPr>
              <w:tabs>
                <w:tab w:val="clear" w:pos="1080"/>
                <w:tab w:val="num" w:pos="763"/>
              </w:tabs>
              <w:spacing w:before="60" w:after="60"/>
              <w:ind w:left="763"/>
              <w:rPr>
                <w:rFonts w:cs="Arial"/>
                <w:b w:val="0"/>
                <w:i/>
                <w:szCs w:val="22"/>
              </w:rPr>
            </w:pPr>
            <w:r w:rsidRPr="00521625">
              <w:rPr>
                <w:rFonts w:cs="Arial"/>
                <w:b w:val="0"/>
                <w:szCs w:val="22"/>
              </w:rPr>
              <w:t>file notes relating to phone calls, discussions and meetings with the complainant, respondent, professional bodies and LSC officers</w:t>
            </w:r>
            <w:bookmarkEnd w:id="8"/>
            <w:r w:rsidRPr="00521625">
              <w:rPr>
                <w:rFonts w:cs="Arial"/>
                <w:b w:val="0"/>
                <w:szCs w:val="22"/>
              </w:rPr>
              <w:t>.</w:t>
            </w:r>
          </w:p>
        </w:tc>
        <w:tc>
          <w:tcPr>
            <w:tcW w:w="842" w:type="pct"/>
            <w:shd w:val="clear" w:color="auto" w:fill="auto"/>
          </w:tcPr>
          <w:p w:rsidR="0054138D" w:rsidRPr="00521625" w:rsidRDefault="0054138D" w:rsidP="0054138D">
            <w:pPr>
              <w:pStyle w:val="Tabletext"/>
              <w:spacing w:before="60" w:after="60" w:line="240" w:lineRule="auto"/>
              <w:rPr>
                <w:sz w:val="22"/>
                <w:szCs w:val="22"/>
              </w:rPr>
            </w:pPr>
            <w:r w:rsidRPr="00521625">
              <w:rPr>
                <w:sz w:val="22"/>
              </w:rPr>
              <w:lastRenderedPageBreak/>
              <w:t>Retain for 12 years after complaint is dismissed, withdrawn, delayed or prosecuted.</w:t>
            </w:r>
          </w:p>
        </w:tc>
        <w:tc>
          <w:tcPr>
            <w:tcW w:w="597" w:type="pct"/>
          </w:tcPr>
          <w:p w:rsidR="0054138D" w:rsidRDefault="0054138D" w:rsidP="0054138D">
            <w:r w:rsidRPr="00093E05">
              <w:rPr>
                <w:szCs w:val="22"/>
              </w:rPr>
              <w:t>21 March 2018</w:t>
            </w:r>
          </w:p>
        </w:tc>
      </w:tr>
      <w:tr w:rsidR="0054138D" w:rsidRPr="00521625" w:rsidTr="0054138D">
        <w:tblPrEx>
          <w:tblCellMar>
            <w:top w:w="57" w:type="dxa"/>
            <w:left w:w="119" w:type="dxa"/>
            <w:right w:w="119" w:type="dxa"/>
          </w:tblCellMar>
        </w:tblPrEx>
        <w:tc>
          <w:tcPr>
            <w:tcW w:w="504" w:type="pct"/>
            <w:shd w:val="clear" w:color="auto" w:fill="auto"/>
          </w:tcPr>
          <w:p w:rsidR="0054138D" w:rsidRPr="00521625" w:rsidRDefault="0054138D" w:rsidP="0054138D">
            <w:pPr>
              <w:pStyle w:val="Tabletext"/>
              <w:spacing w:before="60" w:after="60" w:line="240" w:lineRule="auto"/>
              <w:rPr>
                <w:sz w:val="22"/>
                <w:szCs w:val="22"/>
              </w:rPr>
            </w:pPr>
            <w:r>
              <w:rPr>
                <w:sz w:val="22"/>
                <w:szCs w:val="22"/>
              </w:rPr>
              <w:t>2082</w:t>
            </w:r>
          </w:p>
        </w:tc>
        <w:tc>
          <w:tcPr>
            <w:tcW w:w="3056" w:type="pct"/>
            <w:shd w:val="clear" w:color="auto" w:fill="auto"/>
          </w:tcPr>
          <w:p w:rsidR="0054138D" w:rsidRPr="0054138D" w:rsidRDefault="0054138D" w:rsidP="0054138D">
            <w:pPr>
              <w:pStyle w:val="Heading3"/>
            </w:pPr>
            <w:r w:rsidRPr="0054138D">
              <w:t>Prosecution case files</w:t>
            </w:r>
          </w:p>
          <w:p w:rsidR="0054138D" w:rsidRPr="00521625" w:rsidRDefault="0054138D" w:rsidP="0054138D">
            <w:pPr>
              <w:spacing w:before="60"/>
              <w:rPr>
                <w:rFonts w:cs="Arial"/>
                <w:szCs w:val="22"/>
              </w:rPr>
            </w:pPr>
            <w:r w:rsidRPr="00521625">
              <w:rPr>
                <w:rFonts w:cs="Arial"/>
                <w:szCs w:val="22"/>
              </w:rPr>
              <w:t>Records relating to preparing, filing and prosecuting disciplinary applications and appeals. Includes hard copy files and entries in case management system.</w:t>
            </w:r>
          </w:p>
          <w:p w:rsidR="0054138D" w:rsidRPr="00521625" w:rsidRDefault="0054138D" w:rsidP="0054138D">
            <w:pPr>
              <w:spacing w:before="60"/>
              <w:rPr>
                <w:rFonts w:cs="Arial"/>
                <w:szCs w:val="22"/>
              </w:rPr>
            </w:pPr>
            <w:r w:rsidRPr="00521625">
              <w:rPr>
                <w:rFonts w:cs="Arial"/>
                <w:szCs w:val="22"/>
              </w:rPr>
              <w:t>Records may include, but are not limited to:</w:t>
            </w:r>
          </w:p>
          <w:p w:rsidR="0054138D" w:rsidRPr="00521625" w:rsidRDefault="0054138D" w:rsidP="0054138D">
            <w:pPr>
              <w:widowControl w:val="0"/>
              <w:numPr>
                <w:ilvl w:val="0"/>
                <w:numId w:val="22"/>
              </w:numPr>
              <w:tabs>
                <w:tab w:val="clear" w:pos="1080"/>
              </w:tabs>
              <w:overflowPunct w:val="0"/>
              <w:autoSpaceDE w:val="0"/>
              <w:autoSpaceDN w:val="0"/>
              <w:adjustRightInd w:val="0"/>
              <w:spacing w:before="60" w:line="240" w:lineRule="auto"/>
              <w:ind w:left="763"/>
              <w:textAlignment w:val="baseline"/>
              <w:rPr>
                <w:rFonts w:cs="Arial"/>
                <w:szCs w:val="22"/>
              </w:rPr>
            </w:pPr>
            <w:r w:rsidRPr="00521625">
              <w:rPr>
                <w:rFonts w:cs="Arial"/>
                <w:szCs w:val="22"/>
              </w:rPr>
              <w:t xml:space="preserve">discipline applications lodged with disciplinary bodies, </w:t>
            </w:r>
            <w:r w:rsidRPr="00521625">
              <w:rPr>
                <w:rFonts w:cs="Arial"/>
                <w:szCs w:val="22"/>
                <w:lang w:val="en-GB"/>
              </w:rPr>
              <w:t>e.g. Queensland Civil and Administrative Tribunal (QCAT) and Legal Practice Committee (LPC)</w:t>
            </w:r>
          </w:p>
          <w:p w:rsidR="0054138D" w:rsidRPr="00521625" w:rsidRDefault="0054138D" w:rsidP="0054138D">
            <w:pPr>
              <w:widowControl w:val="0"/>
              <w:numPr>
                <w:ilvl w:val="0"/>
                <w:numId w:val="22"/>
              </w:numPr>
              <w:tabs>
                <w:tab w:val="clear" w:pos="1080"/>
              </w:tabs>
              <w:overflowPunct w:val="0"/>
              <w:autoSpaceDE w:val="0"/>
              <w:autoSpaceDN w:val="0"/>
              <w:adjustRightInd w:val="0"/>
              <w:spacing w:before="60" w:line="240" w:lineRule="auto"/>
              <w:ind w:left="763"/>
              <w:textAlignment w:val="baseline"/>
              <w:rPr>
                <w:rFonts w:cs="Arial"/>
                <w:szCs w:val="22"/>
              </w:rPr>
            </w:pPr>
            <w:r w:rsidRPr="00521625">
              <w:rPr>
                <w:rFonts w:cs="Arial"/>
                <w:szCs w:val="22"/>
              </w:rPr>
              <w:t>correspondence with respondents, witnesses, legal representatives</w:t>
            </w:r>
          </w:p>
          <w:p w:rsidR="0054138D" w:rsidRPr="00521625" w:rsidRDefault="0054138D" w:rsidP="0054138D">
            <w:pPr>
              <w:widowControl w:val="0"/>
              <w:numPr>
                <w:ilvl w:val="0"/>
                <w:numId w:val="22"/>
              </w:numPr>
              <w:tabs>
                <w:tab w:val="clear" w:pos="1080"/>
              </w:tabs>
              <w:overflowPunct w:val="0"/>
              <w:autoSpaceDE w:val="0"/>
              <w:autoSpaceDN w:val="0"/>
              <w:adjustRightInd w:val="0"/>
              <w:spacing w:before="60" w:line="240" w:lineRule="auto"/>
              <w:ind w:left="763"/>
              <w:textAlignment w:val="baseline"/>
              <w:rPr>
                <w:rFonts w:cs="Arial"/>
                <w:szCs w:val="22"/>
              </w:rPr>
            </w:pPr>
            <w:r w:rsidRPr="00521625">
              <w:rPr>
                <w:rFonts w:cs="Arial"/>
                <w:szCs w:val="22"/>
              </w:rPr>
              <w:t>affidavits filed in the proceedings</w:t>
            </w:r>
          </w:p>
          <w:p w:rsidR="0054138D" w:rsidRPr="00521625" w:rsidRDefault="0054138D" w:rsidP="0054138D">
            <w:pPr>
              <w:widowControl w:val="0"/>
              <w:numPr>
                <w:ilvl w:val="0"/>
                <w:numId w:val="22"/>
              </w:numPr>
              <w:tabs>
                <w:tab w:val="clear" w:pos="1080"/>
              </w:tabs>
              <w:overflowPunct w:val="0"/>
              <w:autoSpaceDE w:val="0"/>
              <w:autoSpaceDN w:val="0"/>
              <w:adjustRightInd w:val="0"/>
              <w:spacing w:before="60" w:line="240" w:lineRule="auto"/>
              <w:ind w:left="763"/>
              <w:textAlignment w:val="baseline"/>
              <w:rPr>
                <w:rFonts w:cs="Arial"/>
                <w:szCs w:val="22"/>
              </w:rPr>
            </w:pPr>
            <w:r w:rsidRPr="00521625">
              <w:rPr>
                <w:rFonts w:cs="Arial"/>
                <w:szCs w:val="22"/>
              </w:rPr>
              <w:t>witness statements</w:t>
            </w:r>
          </w:p>
          <w:p w:rsidR="0054138D" w:rsidRPr="00521625" w:rsidRDefault="0054138D" w:rsidP="0054138D">
            <w:pPr>
              <w:widowControl w:val="0"/>
              <w:numPr>
                <w:ilvl w:val="0"/>
                <w:numId w:val="22"/>
              </w:numPr>
              <w:tabs>
                <w:tab w:val="clear" w:pos="1080"/>
              </w:tabs>
              <w:overflowPunct w:val="0"/>
              <w:autoSpaceDE w:val="0"/>
              <w:autoSpaceDN w:val="0"/>
              <w:adjustRightInd w:val="0"/>
              <w:spacing w:before="60" w:line="240" w:lineRule="auto"/>
              <w:ind w:left="763"/>
              <w:textAlignment w:val="baseline"/>
              <w:rPr>
                <w:rFonts w:cs="Arial"/>
                <w:szCs w:val="22"/>
              </w:rPr>
            </w:pPr>
            <w:r w:rsidRPr="00521625">
              <w:rPr>
                <w:rFonts w:cs="Arial"/>
                <w:szCs w:val="22"/>
              </w:rPr>
              <w:t>judgments of the courts and tribunals relating to the prosecution</w:t>
            </w:r>
          </w:p>
          <w:p w:rsidR="0054138D" w:rsidRPr="00521625" w:rsidRDefault="0054138D" w:rsidP="0054138D">
            <w:pPr>
              <w:widowControl w:val="0"/>
              <w:numPr>
                <w:ilvl w:val="0"/>
                <w:numId w:val="22"/>
              </w:numPr>
              <w:tabs>
                <w:tab w:val="clear" w:pos="1080"/>
              </w:tabs>
              <w:overflowPunct w:val="0"/>
              <w:autoSpaceDE w:val="0"/>
              <w:autoSpaceDN w:val="0"/>
              <w:adjustRightInd w:val="0"/>
              <w:spacing w:before="60" w:line="240" w:lineRule="auto"/>
              <w:ind w:left="763"/>
              <w:textAlignment w:val="baseline"/>
              <w:rPr>
                <w:rFonts w:cs="Arial"/>
                <w:szCs w:val="22"/>
              </w:rPr>
            </w:pPr>
            <w:r w:rsidRPr="00521625">
              <w:rPr>
                <w:rFonts w:cs="Arial"/>
                <w:szCs w:val="22"/>
              </w:rPr>
              <w:t>audit reports.</w:t>
            </w:r>
          </w:p>
          <w:p w:rsidR="0054138D" w:rsidRPr="00521625" w:rsidRDefault="0054138D" w:rsidP="0054138D">
            <w:pPr>
              <w:pStyle w:val="Heading30"/>
              <w:spacing w:before="60" w:after="60"/>
              <w:rPr>
                <w:rFonts w:cs="Arial"/>
                <w:b w:val="0"/>
              </w:rPr>
            </w:pPr>
          </w:p>
          <w:p w:rsidR="0054138D" w:rsidRPr="00521625" w:rsidRDefault="0054138D" w:rsidP="0054138D">
            <w:pPr>
              <w:widowControl w:val="0"/>
              <w:overflowPunct w:val="0"/>
              <w:autoSpaceDE w:val="0"/>
              <w:autoSpaceDN w:val="0"/>
              <w:adjustRightInd w:val="0"/>
              <w:spacing w:before="60"/>
              <w:textAlignment w:val="baseline"/>
              <w:rPr>
                <w:rFonts w:cs="Arial"/>
                <w:b/>
                <w:szCs w:val="22"/>
              </w:rPr>
            </w:pPr>
            <w:r w:rsidRPr="00521625">
              <w:rPr>
                <w:rFonts w:cs="Arial"/>
              </w:rPr>
              <w:t xml:space="preserve">See </w:t>
            </w:r>
            <w:r>
              <w:rPr>
                <w:rFonts w:cs="Arial"/>
              </w:rPr>
              <w:t>2083</w:t>
            </w:r>
            <w:r w:rsidRPr="00521625">
              <w:rPr>
                <w:rFonts w:cs="Arial"/>
              </w:rPr>
              <w:t xml:space="preserve"> Audit records</w:t>
            </w:r>
          </w:p>
        </w:tc>
        <w:tc>
          <w:tcPr>
            <w:tcW w:w="842" w:type="pct"/>
            <w:shd w:val="clear" w:color="auto" w:fill="auto"/>
          </w:tcPr>
          <w:p w:rsidR="0054138D" w:rsidRPr="00521625" w:rsidRDefault="0054138D" w:rsidP="0054138D">
            <w:pPr>
              <w:pStyle w:val="Tabletext"/>
              <w:spacing w:before="60" w:after="60" w:line="240" w:lineRule="auto"/>
              <w:rPr>
                <w:sz w:val="22"/>
              </w:rPr>
            </w:pPr>
            <w:r w:rsidRPr="00521625">
              <w:rPr>
                <w:sz w:val="22"/>
              </w:rPr>
              <w:t>Retain for 12 years after final decision is made.</w:t>
            </w:r>
          </w:p>
        </w:tc>
        <w:tc>
          <w:tcPr>
            <w:tcW w:w="597" w:type="pct"/>
          </w:tcPr>
          <w:p w:rsidR="0054138D" w:rsidRDefault="0054138D" w:rsidP="0054138D">
            <w:r w:rsidRPr="00093E05">
              <w:rPr>
                <w:szCs w:val="22"/>
              </w:rPr>
              <w:t>21 March 2018</w:t>
            </w:r>
          </w:p>
        </w:tc>
      </w:tr>
      <w:tr w:rsidR="0054138D" w:rsidRPr="00521625" w:rsidTr="0054138D">
        <w:tblPrEx>
          <w:tblCellMar>
            <w:top w:w="57" w:type="dxa"/>
            <w:left w:w="119" w:type="dxa"/>
            <w:right w:w="119" w:type="dxa"/>
          </w:tblCellMar>
        </w:tblPrEx>
        <w:tc>
          <w:tcPr>
            <w:tcW w:w="4999" w:type="pct"/>
            <w:gridSpan w:val="4"/>
            <w:shd w:val="clear" w:color="auto" w:fill="auto"/>
          </w:tcPr>
          <w:p w:rsidR="0054138D" w:rsidRPr="0054138D" w:rsidRDefault="0054138D" w:rsidP="0054138D">
            <w:pPr>
              <w:pStyle w:val="Heading2"/>
              <w:pageBreakBefore/>
            </w:pPr>
            <w:r w:rsidRPr="0054138D">
              <w:lastRenderedPageBreak/>
              <w:t>COMPLIANCE AUDITS</w:t>
            </w:r>
          </w:p>
          <w:p w:rsidR="0054138D" w:rsidRPr="00521625" w:rsidRDefault="0054138D" w:rsidP="0054138D">
            <w:pPr>
              <w:pStyle w:val="ScopeNote"/>
            </w:pPr>
            <w:r w:rsidRPr="00521625">
              <w:rPr>
                <w:rFonts w:cs="Arial"/>
              </w:rPr>
              <w:t>Activities associated with compliance audits of Incorporated Legal Practices (ILPs), Multi-Disciplinary Partnerships (MDPs) and the compliance of the practice, its officers and employees under section 130 of the Legal Profession Act 2007.The Legal Services Commissioner can undertake three types of audits, self-assessment audits, web-based audits and practice audits or reviews.</w:t>
            </w:r>
          </w:p>
        </w:tc>
      </w:tr>
      <w:tr w:rsidR="0054138D" w:rsidRPr="00521625" w:rsidTr="0054138D">
        <w:tblPrEx>
          <w:tblCellMar>
            <w:top w:w="57" w:type="dxa"/>
            <w:left w:w="119" w:type="dxa"/>
            <w:right w:w="119" w:type="dxa"/>
          </w:tblCellMar>
        </w:tblPrEx>
        <w:tc>
          <w:tcPr>
            <w:tcW w:w="504" w:type="pct"/>
            <w:shd w:val="clear" w:color="auto" w:fill="auto"/>
          </w:tcPr>
          <w:p w:rsidR="0054138D" w:rsidRPr="00521625" w:rsidRDefault="0054138D" w:rsidP="00322926">
            <w:pPr>
              <w:pStyle w:val="Tabletext"/>
              <w:spacing w:before="60" w:after="60" w:line="240" w:lineRule="auto"/>
              <w:rPr>
                <w:sz w:val="22"/>
                <w:szCs w:val="22"/>
              </w:rPr>
            </w:pPr>
            <w:r>
              <w:rPr>
                <w:sz w:val="22"/>
                <w:szCs w:val="22"/>
              </w:rPr>
              <w:t>2083</w:t>
            </w:r>
          </w:p>
        </w:tc>
        <w:tc>
          <w:tcPr>
            <w:tcW w:w="3056" w:type="pct"/>
            <w:shd w:val="clear" w:color="auto" w:fill="auto"/>
          </w:tcPr>
          <w:p w:rsidR="0054138D" w:rsidRPr="00521625" w:rsidRDefault="0054138D" w:rsidP="0054138D">
            <w:pPr>
              <w:pStyle w:val="Heading3"/>
            </w:pPr>
            <w:r w:rsidRPr="00521625">
              <w:t>Audit records</w:t>
            </w:r>
          </w:p>
          <w:p w:rsidR="0054138D" w:rsidRPr="00521625" w:rsidRDefault="0054138D" w:rsidP="00521625">
            <w:pPr>
              <w:pStyle w:val="Tablesub-heading"/>
              <w:spacing w:before="60" w:after="60"/>
              <w:rPr>
                <w:rFonts w:cs="Arial"/>
                <w:b w:val="0"/>
                <w:szCs w:val="22"/>
              </w:rPr>
            </w:pPr>
            <w:r w:rsidRPr="00521625">
              <w:rPr>
                <w:rFonts w:cs="Arial"/>
                <w:b w:val="0"/>
                <w:szCs w:val="22"/>
              </w:rPr>
              <w:t xml:space="preserve">Records including self-assessment audits, web-based audits and practice audits or reviews. </w:t>
            </w:r>
          </w:p>
          <w:p w:rsidR="0054138D" w:rsidRPr="00521625" w:rsidRDefault="0054138D" w:rsidP="00521625">
            <w:pPr>
              <w:pStyle w:val="Tablesub-heading"/>
              <w:spacing w:before="60" w:after="60"/>
              <w:rPr>
                <w:rFonts w:cs="Arial"/>
                <w:b w:val="0"/>
                <w:szCs w:val="22"/>
              </w:rPr>
            </w:pPr>
            <w:r w:rsidRPr="00521625">
              <w:rPr>
                <w:rFonts w:cs="Arial"/>
                <w:b w:val="0"/>
                <w:szCs w:val="22"/>
              </w:rPr>
              <w:t>Records may include but are not limited to:</w:t>
            </w:r>
          </w:p>
          <w:p w:rsidR="0054138D" w:rsidRPr="00521625" w:rsidRDefault="0054138D" w:rsidP="00521625">
            <w:pPr>
              <w:pStyle w:val="Tablesub-heading"/>
              <w:numPr>
                <w:ilvl w:val="0"/>
                <w:numId w:val="23"/>
              </w:numPr>
              <w:spacing w:before="60" w:after="60" w:line="240" w:lineRule="auto"/>
              <w:rPr>
                <w:rFonts w:cs="Arial"/>
                <w:b w:val="0"/>
                <w:szCs w:val="22"/>
              </w:rPr>
            </w:pPr>
            <w:r w:rsidRPr="00521625">
              <w:rPr>
                <w:rFonts w:cs="Arial"/>
                <w:b w:val="0"/>
                <w:szCs w:val="22"/>
              </w:rPr>
              <w:t xml:space="preserve">draft or completed audit reports </w:t>
            </w:r>
          </w:p>
          <w:p w:rsidR="0054138D" w:rsidRPr="00521625" w:rsidRDefault="0054138D" w:rsidP="00521625">
            <w:pPr>
              <w:pStyle w:val="Tablesub-heading"/>
              <w:numPr>
                <w:ilvl w:val="0"/>
                <w:numId w:val="23"/>
              </w:numPr>
              <w:spacing w:before="60" w:after="60" w:line="240" w:lineRule="auto"/>
              <w:rPr>
                <w:rFonts w:cs="Arial"/>
                <w:b w:val="0"/>
                <w:szCs w:val="22"/>
              </w:rPr>
            </w:pPr>
            <w:r w:rsidRPr="00521625">
              <w:rPr>
                <w:rFonts w:cs="Arial"/>
                <w:b w:val="0"/>
                <w:szCs w:val="22"/>
              </w:rPr>
              <w:t>planning and conduct of audits</w:t>
            </w:r>
          </w:p>
          <w:p w:rsidR="0054138D" w:rsidRPr="00521625" w:rsidRDefault="0054138D" w:rsidP="00521625">
            <w:pPr>
              <w:pStyle w:val="Tablesub-heading"/>
              <w:numPr>
                <w:ilvl w:val="0"/>
                <w:numId w:val="23"/>
              </w:numPr>
              <w:spacing w:before="60" w:after="60" w:line="240" w:lineRule="auto"/>
              <w:rPr>
                <w:rFonts w:cs="Arial"/>
                <w:b w:val="0"/>
                <w:szCs w:val="22"/>
              </w:rPr>
            </w:pPr>
            <w:r w:rsidRPr="00521625">
              <w:rPr>
                <w:rFonts w:cs="Arial"/>
                <w:b w:val="0"/>
                <w:szCs w:val="22"/>
              </w:rPr>
              <w:t xml:space="preserve">review comments </w:t>
            </w:r>
          </w:p>
          <w:p w:rsidR="0054138D" w:rsidRPr="00521625" w:rsidRDefault="0054138D" w:rsidP="00521625">
            <w:pPr>
              <w:pStyle w:val="Tablesub-heading"/>
              <w:numPr>
                <w:ilvl w:val="0"/>
                <w:numId w:val="23"/>
              </w:numPr>
              <w:spacing w:before="60" w:after="60" w:line="240" w:lineRule="auto"/>
              <w:rPr>
                <w:rFonts w:cs="Arial"/>
                <w:b w:val="0"/>
                <w:szCs w:val="22"/>
              </w:rPr>
            </w:pPr>
            <w:r w:rsidRPr="00521625">
              <w:rPr>
                <w:rFonts w:cs="Arial"/>
                <w:b w:val="0"/>
                <w:szCs w:val="22"/>
              </w:rPr>
              <w:t xml:space="preserve">correspondence with Incorporated Legal Practices and </w:t>
            </w:r>
            <w:r w:rsidRPr="00521625">
              <w:rPr>
                <w:rFonts w:cs="Arial"/>
                <w:b w:val="0"/>
                <w:i/>
                <w:szCs w:val="22"/>
              </w:rPr>
              <w:t>Multi-Disciplinary Partnerships</w:t>
            </w:r>
          </w:p>
          <w:p w:rsidR="0054138D" w:rsidRPr="00521625" w:rsidRDefault="0054138D" w:rsidP="00521625">
            <w:pPr>
              <w:pStyle w:val="Tablesub-heading"/>
              <w:numPr>
                <w:ilvl w:val="0"/>
                <w:numId w:val="23"/>
              </w:numPr>
              <w:spacing w:before="60" w:after="60" w:line="240" w:lineRule="auto"/>
              <w:rPr>
                <w:rFonts w:cs="Arial"/>
                <w:b w:val="0"/>
                <w:szCs w:val="22"/>
              </w:rPr>
            </w:pPr>
            <w:r w:rsidRPr="00521625">
              <w:rPr>
                <w:rFonts w:cs="Arial"/>
                <w:b w:val="0"/>
                <w:szCs w:val="22"/>
              </w:rPr>
              <w:t xml:space="preserve">notification of the Incorporated Legal Practices and </w:t>
            </w:r>
            <w:r w:rsidRPr="00521625">
              <w:rPr>
                <w:rFonts w:cs="Arial"/>
                <w:b w:val="0"/>
                <w:i/>
                <w:szCs w:val="22"/>
              </w:rPr>
              <w:t xml:space="preserve">Multi-Disciplinary Partnerships </w:t>
            </w:r>
            <w:r w:rsidRPr="00521625">
              <w:rPr>
                <w:rFonts w:cs="Arial"/>
                <w:b w:val="0"/>
                <w:szCs w:val="22"/>
              </w:rPr>
              <w:t xml:space="preserve">commencing business </w:t>
            </w:r>
          </w:p>
          <w:p w:rsidR="0054138D" w:rsidRPr="00521625" w:rsidRDefault="0054138D" w:rsidP="00521625">
            <w:pPr>
              <w:pStyle w:val="Heading30"/>
              <w:numPr>
                <w:ilvl w:val="0"/>
                <w:numId w:val="23"/>
              </w:numPr>
              <w:spacing w:before="60" w:after="60"/>
              <w:rPr>
                <w:b w:val="0"/>
              </w:rPr>
            </w:pPr>
            <w:r w:rsidRPr="00521625">
              <w:rPr>
                <w:rFonts w:cs="Arial"/>
                <w:b w:val="0"/>
              </w:rPr>
              <w:t xml:space="preserve">letters sent to Incorporated Legal Practices and </w:t>
            </w:r>
            <w:r w:rsidRPr="00521625">
              <w:rPr>
                <w:rFonts w:cs="Arial"/>
                <w:b w:val="0"/>
                <w:i/>
              </w:rPr>
              <w:t>Multi-Disciplinary Partnerships</w:t>
            </w:r>
            <w:r w:rsidRPr="00521625">
              <w:rPr>
                <w:rFonts w:cs="Arial"/>
                <w:b w:val="0"/>
              </w:rPr>
              <w:t xml:space="preserve"> after commencing business.</w:t>
            </w:r>
          </w:p>
        </w:tc>
        <w:tc>
          <w:tcPr>
            <w:tcW w:w="842" w:type="pct"/>
            <w:shd w:val="clear" w:color="auto" w:fill="auto"/>
          </w:tcPr>
          <w:p w:rsidR="0054138D" w:rsidRPr="00521625" w:rsidRDefault="0054138D" w:rsidP="00322926">
            <w:pPr>
              <w:pStyle w:val="Tabletext"/>
              <w:spacing w:before="60" w:after="60" w:line="240" w:lineRule="auto"/>
            </w:pPr>
            <w:r w:rsidRPr="00521625">
              <w:rPr>
                <w:rFonts w:cs="Arial"/>
                <w:szCs w:val="22"/>
              </w:rPr>
              <w:t>12 years after finalisation of audits or the decision to prosecute.</w:t>
            </w:r>
          </w:p>
        </w:tc>
        <w:tc>
          <w:tcPr>
            <w:tcW w:w="597" w:type="pct"/>
          </w:tcPr>
          <w:p w:rsidR="0054138D" w:rsidRPr="00521625" w:rsidRDefault="0054138D" w:rsidP="00322926">
            <w:pPr>
              <w:pStyle w:val="Tabletext"/>
              <w:spacing w:before="60" w:after="60" w:line="240" w:lineRule="auto"/>
              <w:rPr>
                <w:rFonts w:cs="Arial"/>
                <w:szCs w:val="22"/>
              </w:rPr>
            </w:pPr>
          </w:p>
        </w:tc>
      </w:tr>
    </w:tbl>
    <w:p w:rsidR="00242F03" w:rsidRPr="00521625" w:rsidRDefault="00242F03" w:rsidP="00327FF3">
      <w:pPr>
        <w:spacing w:before="60" w:line="240" w:lineRule="auto"/>
        <w:rPr>
          <w:rStyle w:val="Heading2Char"/>
          <w:szCs w:val="36"/>
        </w:rPr>
      </w:pPr>
    </w:p>
    <w:p w:rsidR="00242F03" w:rsidRPr="0054138D" w:rsidRDefault="00242F03" w:rsidP="00327FF3">
      <w:pPr>
        <w:pStyle w:val="Heading1"/>
        <w:spacing w:before="60" w:after="60" w:line="240" w:lineRule="auto"/>
        <w:rPr>
          <w:rStyle w:val="Heading2Char"/>
          <w:noProof w:val="0"/>
          <w:sz w:val="36"/>
          <w:szCs w:val="36"/>
          <w:lang w:eastAsia="en-AU"/>
        </w:rPr>
      </w:pPr>
      <w:r w:rsidRPr="00521625">
        <w:rPr>
          <w:rStyle w:val="Heading2Char"/>
          <w:szCs w:val="36"/>
        </w:rPr>
        <w:br w:type="page"/>
      </w:r>
      <w:bookmarkStart w:id="9" w:name="_Toc506367664"/>
      <w:r w:rsidR="00521625" w:rsidRPr="0054138D">
        <w:rPr>
          <w:rStyle w:val="Heading2Char"/>
          <w:b/>
          <w:noProof w:val="0"/>
          <w:sz w:val="36"/>
          <w:szCs w:val="36"/>
          <w:lang w:eastAsia="en-AU"/>
        </w:rPr>
        <w:lastRenderedPageBreak/>
        <w:t>LEGAL PRACTICE COMMITTEE MANAGEMENT</w:t>
      </w:r>
      <w:bookmarkEnd w:id="9"/>
    </w:p>
    <w:p w:rsidR="00521625" w:rsidRPr="00521625" w:rsidRDefault="00521625" w:rsidP="00521625">
      <w:pPr>
        <w:spacing w:before="60" w:line="240" w:lineRule="auto"/>
        <w:rPr>
          <w:i/>
        </w:rPr>
      </w:pPr>
      <w:r w:rsidRPr="00521625">
        <w:rPr>
          <w:rFonts w:cs="Arial"/>
          <w:i/>
          <w:szCs w:val="22"/>
        </w:rPr>
        <w:t xml:space="preserve">The function of the Legal Practice Committee, a disciplinary body established under the Legal Profession Act 2004 and continued under the Legal Profession Act 2007, is to hear and decide discipline applications lodged with them by the Legal Services Commission.  </w:t>
      </w:r>
      <w:r w:rsidRPr="00521625">
        <w:rPr>
          <w:rFonts w:cs="Arial"/>
          <w:i/>
          <w:szCs w:val="22"/>
        </w:rPr>
        <w:br/>
      </w:r>
      <w:r w:rsidRPr="00521625">
        <w:rPr>
          <w:rFonts w:cs="Arial"/>
          <w:i/>
          <w:szCs w:val="22"/>
        </w:rPr>
        <w:br/>
        <w:t>The Committee also has an advisory function to monitor the effectiveness of the legal profession rules - the Australian Solicitors Conduct Rules 2012 (ASCR), the Barristers’ Conduct Rules and the Incorporated Legal Practice Rule-and makes recommendations to the Minister.</w:t>
      </w:r>
    </w:p>
    <w:p w:rsidR="00242F03" w:rsidRPr="00521625" w:rsidRDefault="00242F03" w:rsidP="00327FF3">
      <w:pPr>
        <w:spacing w:before="60" w:line="240" w:lineRule="auto"/>
        <w:rPr>
          <w:i/>
        </w:rPr>
      </w:pPr>
    </w:p>
    <w:tbl>
      <w:tblPr>
        <w:tblW w:w="5004" w:type="pct"/>
        <w:tblInd w:w="-1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left w:w="113" w:type="dxa"/>
          <w:bottom w:w="28" w:type="dxa"/>
          <w:right w:w="113" w:type="dxa"/>
        </w:tblCellMar>
        <w:tblLook w:val="01E0" w:firstRow="1" w:lastRow="1" w:firstColumn="1" w:lastColumn="1" w:noHBand="0" w:noVBand="0"/>
      </w:tblPr>
      <w:tblGrid>
        <w:gridCol w:w="1527"/>
        <w:gridCol w:w="9255"/>
        <w:gridCol w:w="2552"/>
        <w:gridCol w:w="1804"/>
      </w:tblGrid>
      <w:tr w:rsidR="0054138D" w:rsidRPr="00521625" w:rsidTr="0054138D">
        <w:trPr>
          <w:tblHeader/>
        </w:trPr>
        <w:tc>
          <w:tcPr>
            <w:tcW w:w="504" w:type="pct"/>
            <w:tcBorders>
              <w:top w:val="single" w:sz="4" w:space="0" w:color="C0C0C0"/>
              <w:left w:val="single" w:sz="4" w:space="0" w:color="C0C0C0"/>
              <w:bottom w:val="single" w:sz="18" w:space="0" w:color="C0C0C0"/>
              <w:right w:val="single" w:sz="4" w:space="0" w:color="C0C0C0"/>
              <w:tl2br w:val="nil"/>
              <w:tr2bl w:val="nil"/>
            </w:tcBorders>
            <w:shd w:val="clear" w:color="auto" w:fill="FFFFFF"/>
          </w:tcPr>
          <w:p w:rsidR="0054138D" w:rsidRPr="00521625" w:rsidRDefault="0054138D" w:rsidP="00327FF3">
            <w:pPr>
              <w:pStyle w:val="Tabletext"/>
              <w:spacing w:before="60" w:after="60" w:line="240" w:lineRule="auto"/>
              <w:jc w:val="center"/>
              <w:rPr>
                <w:b/>
              </w:rPr>
            </w:pPr>
            <w:r w:rsidRPr="00521625">
              <w:rPr>
                <w:b/>
              </w:rPr>
              <w:t>Disposal Authorisation</w:t>
            </w:r>
          </w:p>
        </w:tc>
        <w:tc>
          <w:tcPr>
            <w:tcW w:w="3057" w:type="pct"/>
            <w:tcBorders>
              <w:top w:val="single" w:sz="4" w:space="0" w:color="C0C0C0"/>
              <w:left w:val="single" w:sz="4" w:space="0" w:color="C0C0C0"/>
              <w:bottom w:val="single" w:sz="18" w:space="0" w:color="C0C0C0"/>
              <w:right w:val="single" w:sz="4" w:space="0" w:color="C0C0C0"/>
              <w:tl2br w:val="nil"/>
              <w:tr2bl w:val="nil"/>
            </w:tcBorders>
            <w:shd w:val="clear" w:color="auto" w:fill="FFFFFF"/>
          </w:tcPr>
          <w:p w:rsidR="0054138D" w:rsidRPr="00521625" w:rsidRDefault="0054138D" w:rsidP="00327FF3">
            <w:pPr>
              <w:pStyle w:val="Tabletext"/>
              <w:spacing w:before="60" w:after="60" w:line="240" w:lineRule="auto"/>
              <w:jc w:val="center"/>
              <w:rPr>
                <w:b/>
              </w:rPr>
            </w:pPr>
            <w:r w:rsidRPr="00521625">
              <w:rPr>
                <w:b/>
              </w:rPr>
              <w:t>Description of records</w:t>
            </w:r>
          </w:p>
        </w:tc>
        <w:tc>
          <w:tcPr>
            <w:tcW w:w="843" w:type="pct"/>
            <w:tcBorders>
              <w:top w:val="single" w:sz="4" w:space="0" w:color="C0C0C0"/>
              <w:left w:val="single" w:sz="4" w:space="0" w:color="C0C0C0"/>
              <w:bottom w:val="single" w:sz="18" w:space="0" w:color="C0C0C0"/>
              <w:right w:val="single" w:sz="4" w:space="0" w:color="C0C0C0"/>
              <w:tl2br w:val="nil"/>
              <w:tr2bl w:val="nil"/>
            </w:tcBorders>
            <w:shd w:val="clear" w:color="auto" w:fill="FFFFFF"/>
          </w:tcPr>
          <w:p w:rsidR="0054138D" w:rsidRPr="00521625" w:rsidRDefault="0054138D" w:rsidP="00327FF3">
            <w:pPr>
              <w:pStyle w:val="Tabletext"/>
              <w:spacing w:before="60" w:after="60" w:line="240" w:lineRule="auto"/>
              <w:jc w:val="center"/>
              <w:rPr>
                <w:b/>
              </w:rPr>
            </w:pPr>
            <w:r w:rsidRPr="00521625">
              <w:rPr>
                <w:b/>
              </w:rPr>
              <w:t>Retention period &amp; trigger</w:t>
            </w:r>
          </w:p>
        </w:tc>
        <w:tc>
          <w:tcPr>
            <w:tcW w:w="597" w:type="pct"/>
            <w:tcBorders>
              <w:top w:val="single" w:sz="4" w:space="0" w:color="C0C0C0"/>
              <w:left w:val="single" w:sz="4" w:space="0" w:color="C0C0C0"/>
              <w:bottom w:val="single" w:sz="18" w:space="0" w:color="C0C0C0"/>
              <w:right w:val="single" w:sz="4" w:space="0" w:color="C0C0C0"/>
              <w:tl2br w:val="nil"/>
              <w:tr2bl w:val="nil"/>
            </w:tcBorders>
            <w:shd w:val="clear" w:color="auto" w:fill="FFFFFF"/>
          </w:tcPr>
          <w:p w:rsidR="0054138D" w:rsidRPr="00521625" w:rsidRDefault="0054138D" w:rsidP="00327FF3">
            <w:pPr>
              <w:pStyle w:val="Tabletext"/>
              <w:spacing w:before="60" w:after="60" w:line="240" w:lineRule="auto"/>
              <w:jc w:val="center"/>
              <w:rPr>
                <w:b/>
              </w:rPr>
            </w:pPr>
            <w:r>
              <w:rPr>
                <w:b/>
              </w:rPr>
              <w:t>Date authorised</w:t>
            </w:r>
          </w:p>
        </w:tc>
      </w:tr>
      <w:tr w:rsidR="0054138D" w:rsidRPr="00521625" w:rsidTr="0054138D">
        <w:tblPrEx>
          <w:tblCellMar>
            <w:top w:w="57" w:type="dxa"/>
            <w:left w:w="119" w:type="dxa"/>
            <w:right w:w="119" w:type="dxa"/>
          </w:tblCellMar>
        </w:tblPrEx>
        <w:tc>
          <w:tcPr>
            <w:tcW w:w="5000" w:type="pct"/>
            <w:gridSpan w:val="4"/>
            <w:shd w:val="clear" w:color="auto" w:fill="auto"/>
          </w:tcPr>
          <w:p w:rsidR="0054138D" w:rsidRPr="00521625" w:rsidRDefault="0054138D" w:rsidP="0054138D">
            <w:pPr>
              <w:pStyle w:val="Heading2"/>
            </w:pPr>
            <w:r w:rsidRPr="00521625">
              <w:t>DISCIPLINE MANAGEMENT</w:t>
            </w:r>
          </w:p>
          <w:p w:rsidR="0054138D" w:rsidRPr="00521625" w:rsidRDefault="0054138D" w:rsidP="0054138D">
            <w:pPr>
              <w:pStyle w:val="ScopeNote"/>
            </w:pPr>
            <w:r w:rsidRPr="00521625">
              <w:t>Activities associated with receiving and dealing with discipline applications received under Section 80 of the Legal Profession Regulations 2017, from the Legal Services Commission about the conduct of legal practitioners and law practice employees.</w:t>
            </w:r>
          </w:p>
        </w:tc>
      </w:tr>
      <w:tr w:rsidR="0054138D" w:rsidRPr="00521625" w:rsidTr="0054138D">
        <w:tblPrEx>
          <w:tblCellMar>
            <w:top w:w="57" w:type="dxa"/>
            <w:left w:w="119" w:type="dxa"/>
            <w:right w:w="119" w:type="dxa"/>
          </w:tblCellMar>
        </w:tblPrEx>
        <w:tc>
          <w:tcPr>
            <w:tcW w:w="504" w:type="pct"/>
            <w:shd w:val="clear" w:color="auto" w:fill="auto"/>
          </w:tcPr>
          <w:p w:rsidR="0054138D" w:rsidRPr="00521625" w:rsidRDefault="0054138D" w:rsidP="00327FF3">
            <w:pPr>
              <w:pStyle w:val="Tabletext"/>
              <w:spacing w:before="60" w:after="60" w:line="240" w:lineRule="auto"/>
              <w:rPr>
                <w:sz w:val="22"/>
                <w:szCs w:val="22"/>
              </w:rPr>
            </w:pPr>
            <w:r>
              <w:rPr>
                <w:sz w:val="22"/>
                <w:szCs w:val="22"/>
              </w:rPr>
              <w:t>2084</w:t>
            </w:r>
          </w:p>
        </w:tc>
        <w:tc>
          <w:tcPr>
            <w:tcW w:w="3057" w:type="pct"/>
            <w:shd w:val="clear" w:color="auto" w:fill="auto"/>
          </w:tcPr>
          <w:p w:rsidR="0054138D" w:rsidRPr="00521625" w:rsidRDefault="0054138D" w:rsidP="0054138D">
            <w:pPr>
              <w:pStyle w:val="Heading3"/>
            </w:pPr>
            <w:r w:rsidRPr="00521625">
              <w:t xml:space="preserve">Discipline matters </w:t>
            </w:r>
          </w:p>
          <w:p w:rsidR="0054138D" w:rsidRPr="00521625" w:rsidRDefault="0054138D" w:rsidP="00521625">
            <w:pPr>
              <w:pStyle w:val="Tablesub-heading"/>
              <w:spacing w:before="60" w:after="60"/>
              <w:rPr>
                <w:rFonts w:cs="Arial"/>
                <w:b w:val="0"/>
                <w:szCs w:val="22"/>
              </w:rPr>
            </w:pPr>
            <w:r w:rsidRPr="00521625">
              <w:rPr>
                <w:rFonts w:cs="Arial"/>
                <w:b w:val="0"/>
                <w:szCs w:val="22"/>
              </w:rPr>
              <w:t xml:space="preserve">Records relating to discipline applications lodged by the Legal Services Commission. Includes hard copy files and electronic records. </w:t>
            </w:r>
          </w:p>
          <w:p w:rsidR="0054138D" w:rsidRPr="00521625" w:rsidRDefault="0054138D" w:rsidP="00521625">
            <w:pPr>
              <w:spacing w:before="60"/>
              <w:rPr>
                <w:rFonts w:cs="Arial"/>
                <w:szCs w:val="22"/>
                <w:lang w:eastAsia="en-AU"/>
              </w:rPr>
            </w:pPr>
            <w:r w:rsidRPr="00521625">
              <w:rPr>
                <w:rFonts w:cs="Arial"/>
                <w:szCs w:val="22"/>
              </w:rPr>
              <w:t>Records may include, but are not limited to:</w:t>
            </w:r>
          </w:p>
          <w:p w:rsidR="0054138D" w:rsidRPr="00521625" w:rsidRDefault="0054138D" w:rsidP="00521625">
            <w:pPr>
              <w:widowControl w:val="0"/>
              <w:numPr>
                <w:ilvl w:val="0"/>
                <w:numId w:val="18"/>
              </w:numPr>
              <w:tabs>
                <w:tab w:val="clear" w:pos="1080"/>
                <w:tab w:val="num" w:pos="-360"/>
              </w:tabs>
              <w:overflowPunct w:val="0"/>
              <w:autoSpaceDE w:val="0"/>
              <w:autoSpaceDN w:val="0"/>
              <w:adjustRightInd w:val="0"/>
              <w:spacing w:before="60" w:line="240" w:lineRule="auto"/>
              <w:ind w:left="1522"/>
              <w:textAlignment w:val="baseline"/>
              <w:rPr>
                <w:rFonts w:cs="Arial"/>
                <w:szCs w:val="22"/>
              </w:rPr>
            </w:pPr>
            <w:r w:rsidRPr="00521625">
              <w:rPr>
                <w:rFonts w:cs="Arial"/>
                <w:szCs w:val="22"/>
              </w:rPr>
              <w:t>original discipline application registered and stamped by the committee</w:t>
            </w:r>
          </w:p>
          <w:p w:rsidR="0054138D" w:rsidRPr="00521625" w:rsidRDefault="0054138D" w:rsidP="00521625">
            <w:pPr>
              <w:widowControl w:val="0"/>
              <w:numPr>
                <w:ilvl w:val="0"/>
                <w:numId w:val="18"/>
              </w:numPr>
              <w:tabs>
                <w:tab w:val="clear" w:pos="1080"/>
                <w:tab w:val="num" w:pos="-360"/>
              </w:tabs>
              <w:overflowPunct w:val="0"/>
              <w:autoSpaceDE w:val="0"/>
              <w:autoSpaceDN w:val="0"/>
              <w:adjustRightInd w:val="0"/>
              <w:spacing w:before="60" w:line="240" w:lineRule="auto"/>
              <w:ind w:left="1522"/>
              <w:textAlignment w:val="baseline"/>
              <w:rPr>
                <w:rFonts w:cs="Arial"/>
                <w:szCs w:val="22"/>
              </w:rPr>
            </w:pPr>
            <w:r w:rsidRPr="00521625">
              <w:rPr>
                <w:rFonts w:cs="Arial"/>
                <w:szCs w:val="22"/>
              </w:rPr>
              <w:t>notices of address for service</w:t>
            </w:r>
          </w:p>
          <w:p w:rsidR="0054138D" w:rsidRPr="00521625" w:rsidRDefault="0054138D" w:rsidP="00521625">
            <w:pPr>
              <w:widowControl w:val="0"/>
              <w:numPr>
                <w:ilvl w:val="0"/>
                <w:numId w:val="18"/>
              </w:numPr>
              <w:tabs>
                <w:tab w:val="clear" w:pos="1080"/>
                <w:tab w:val="num" w:pos="-360"/>
              </w:tabs>
              <w:overflowPunct w:val="0"/>
              <w:autoSpaceDE w:val="0"/>
              <w:autoSpaceDN w:val="0"/>
              <w:adjustRightInd w:val="0"/>
              <w:spacing w:before="60" w:line="240" w:lineRule="auto"/>
              <w:ind w:left="1522"/>
              <w:textAlignment w:val="baseline"/>
              <w:rPr>
                <w:rFonts w:cs="Arial"/>
                <w:szCs w:val="22"/>
              </w:rPr>
            </w:pPr>
            <w:r w:rsidRPr="00521625">
              <w:rPr>
                <w:rFonts w:cs="Arial"/>
                <w:szCs w:val="22"/>
              </w:rPr>
              <w:t>statements of agreed facts</w:t>
            </w:r>
          </w:p>
          <w:p w:rsidR="0054138D" w:rsidRPr="00521625" w:rsidRDefault="0054138D" w:rsidP="00521625">
            <w:pPr>
              <w:widowControl w:val="0"/>
              <w:numPr>
                <w:ilvl w:val="0"/>
                <w:numId w:val="18"/>
              </w:numPr>
              <w:tabs>
                <w:tab w:val="clear" w:pos="1080"/>
                <w:tab w:val="num" w:pos="-360"/>
              </w:tabs>
              <w:overflowPunct w:val="0"/>
              <w:autoSpaceDE w:val="0"/>
              <w:autoSpaceDN w:val="0"/>
              <w:adjustRightInd w:val="0"/>
              <w:spacing w:before="60" w:line="240" w:lineRule="auto"/>
              <w:ind w:left="1522"/>
              <w:textAlignment w:val="baseline"/>
              <w:rPr>
                <w:rFonts w:cs="Arial"/>
                <w:szCs w:val="22"/>
              </w:rPr>
            </w:pPr>
            <w:r w:rsidRPr="00521625">
              <w:rPr>
                <w:rFonts w:cs="Arial"/>
                <w:szCs w:val="22"/>
              </w:rPr>
              <w:t xml:space="preserve">submissions from the Legal Services Commission and the legal practitioner </w:t>
            </w:r>
          </w:p>
          <w:p w:rsidR="0054138D" w:rsidRPr="00521625" w:rsidRDefault="0054138D" w:rsidP="00521625">
            <w:pPr>
              <w:widowControl w:val="0"/>
              <w:numPr>
                <w:ilvl w:val="0"/>
                <w:numId w:val="18"/>
              </w:numPr>
              <w:tabs>
                <w:tab w:val="clear" w:pos="1080"/>
                <w:tab w:val="num" w:pos="-360"/>
              </w:tabs>
              <w:overflowPunct w:val="0"/>
              <w:autoSpaceDE w:val="0"/>
              <w:autoSpaceDN w:val="0"/>
              <w:adjustRightInd w:val="0"/>
              <w:spacing w:before="60" w:line="240" w:lineRule="auto"/>
              <w:ind w:left="1522"/>
              <w:textAlignment w:val="baseline"/>
              <w:rPr>
                <w:rFonts w:cs="Arial"/>
                <w:szCs w:val="22"/>
              </w:rPr>
            </w:pPr>
            <w:r w:rsidRPr="00521625">
              <w:rPr>
                <w:rFonts w:cs="Arial"/>
                <w:szCs w:val="22"/>
              </w:rPr>
              <w:t xml:space="preserve">orders made by the committee </w:t>
            </w:r>
          </w:p>
          <w:p w:rsidR="0054138D" w:rsidRPr="00521625" w:rsidRDefault="0054138D" w:rsidP="00521625">
            <w:pPr>
              <w:widowControl w:val="0"/>
              <w:numPr>
                <w:ilvl w:val="0"/>
                <w:numId w:val="18"/>
              </w:numPr>
              <w:tabs>
                <w:tab w:val="clear" w:pos="1080"/>
                <w:tab w:val="num" w:pos="-360"/>
              </w:tabs>
              <w:overflowPunct w:val="0"/>
              <w:autoSpaceDE w:val="0"/>
              <w:autoSpaceDN w:val="0"/>
              <w:adjustRightInd w:val="0"/>
              <w:spacing w:before="60" w:line="240" w:lineRule="auto"/>
              <w:ind w:left="1522"/>
              <w:textAlignment w:val="baseline"/>
              <w:rPr>
                <w:rFonts w:cs="Arial"/>
                <w:szCs w:val="22"/>
              </w:rPr>
            </w:pPr>
            <w:r w:rsidRPr="00521625">
              <w:rPr>
                <w:rFonts w:cs="Arial"/>
                <w:szCs w:val="22"/>
              </w:rPr>
              <w:t>transcripts of proceedings</w:t>
            </w:r>
          </w:p>
          <w:p w:rsidR="0054138D" w:rsidRPr="00521625" w:rsidRDefault="0054138D" w:rsidP="00521625">
            <w:pPr>
              <w:widowControl w:val="0"/>
              <w:numPr>
                <w:ilvl w:val="0"/>
                <w:numId w:val="18"/>
              </w:numPr>
              <w:tabs>
                <w:tab w:val="clear" w:pos="1080"/>
                <w:tab w:val="num" w:pos="-360"/>
              </w:tabs>
              <w:overflowPunct w:val="0"/>
              <w:autoSpaceDE w:val="0"/>
              <w:autoSpaceDN w:val="0"/>
              <w:adjustRightInd w:val="0"/>
              <w:spacing w:before="60" w:line="240" w:lineRule="auto"/>
              <w:ind w:left="1522"/>
              <w:textAlignment w:val="baseline"/>
              <w:rPr>
                <w:rFonts w:cs="Arial"/>
                <w:szCs w:val="22"/>
              </w:rPr>
            </w:pPr>
            <w:r w:rsidRPr="00521625">
              <w:rPr>
                <w:rFonts w:cs="Arial"/>
                <w:szCs w:val="22"/>
              </w:rPr>
              <w:t xml:space="preserve">records of penalties and costs of audit </w:t>
            </w:r>
          </w:p>
          <w:p w:rsidR="0054138D" w:rsidRPr="00521625" w:rsidRDefault="0054138D" w:rsidP="00521625">
            <w:pPr>
              <w:widowControl w:val="0"/>
              <w:numPr>
                <w:ilvl w:val="0"/>
                <w:numId w:val="18"/>
              </w:numPr>
              <w:tabs>
                <w:tab w:val="clear" w:pos="1080"/>
                <w:tab w:val="num" w:pos="-360"/>
              </w:tabs>
              <w:overflowPunct w:val="0"/>
              <w:autoSpaceDE w:val="0"/>
              <w:autoSpaceDN w:val="0"/>
              <w:adjustRightInd w:val="0"/>
              <w:spacing w:before="60" w:line="240" w:lineRule="auto"/>
              <w:ind w:left="1522"/>
              <w:textAlignment w:val="baseline"/>
              <w:rPr>
                <w:rFonts w:cs="Arial"/>
                <w:szCs w:val="22"/>
              </w:rPr>
            </w:pPr>
            <w:r w:rsidRPr="00521625">
              <w:rPr>
                <w:rFonts w:cs="Arial"/>
                <w:szCs w:val="22"/>
              </w:rPr>
              <w:t xml:space="preserve">minutes </w:t>
            </w:r>
          </w:p>
          <w:p w:rsidR="0054138D" w:rsidRPr="00521625" w:rsidRDefault="0054138D" w:rsidP="00521625">
            <w:pPr>
              <w:widowControl w:val="0"/>
              <w:numPr>
                <w:ilvl w:val="0"/>
                <w:numId w:val="18"/>
              </w:numPr>
              <w:tabs>
                <w:tab w:val="clear" w:pos="1080"/>
                <w:tab w:val="num" w:pos="-360"/>
              </w:tabs>
              <w:overflowPunct w:val="0"/>
              <w:autoSpaceDE w:val="0"/>
              <w:autoSpaceDN w:val="0"/>
              <w:adjustRightInd w:val="0"/>
              <w:spacing w:before="60" w:line="240" w:lineRule="auto"/>
              <w:ind w:left="1522"/>
              <w:textAlignment w:val="baseline"/>
              <w:rPr>
                <w:rFonts w:cs="Arial"/>
                <w:szCs w:val="22"/>
              </w:rPr>
            </w:pPr>
            <w:r w:rsidRPr="00521625">
              <w:rPr>
                <w:rFonts w:cs="Arial"/>
                <w:szCs w:val="22"/>
              </w:rPr>
              <w:t>agendas.</w:t>
            </w:r>
          </w:p>
          <w:p w:rsidR="0054138D" w:rsidRPr="00521625" w:rsidRDefault="0054138D" w:rsidP="00521625">
            <w:pPr>
              <w:widowControl w:val="0"/>
              <w:overflowPunct w:val="0"/>
              <w:autoSpaceDE w:val="0"/>
              <w:autoSpaceDN w:val="0"/>
              <w:adjustRightInd w:val="0"/>
              <w:spacing w:before="60"/>
              <w:ind w:left="35"/>
              <w:textAlignment w:val="baseline"/>
              <w:rPr>
                <w:rFonts w:cs="Arial"/>
                <w:szCs w:val="22"/>
              </w:rPr>
            </w:pPr>
          </w:p>
          <w:p w:rsidR="0054138D" w:rsidRPr="00521625" w:rsidRDefault="0054138D" w:rsidP="00963EE7">
            <w:pPr>
              <w:pStyle w:val="Heading30"/>
              <w:spacing w:before="60" w:after="60"/>
              <w:rPr>
                <w:b w:val="0"/>
              </w:rPr>
            </w:pPr>
            <w:r w:rsidRPr="00521625">
              <w:rPr>
                <w:rFonts w:cs="Arial"/>
                <w:b w:val="0"/>
              </w:rPr>
              <w:t xml:space="preserve">See </w:t>
            </w:r>
            <w:r>
              <w:rPr>
                <w:rFonts w:cs="Arial"/>
                <w:b w:val="0"/>
              </w:rPr>
              <w:t>2082</w:t>
            </w:r>
            <w:r w:rsidRPr="00521625">
              <w:rPr>
                <w:rFonts w:cs="Arial"/>
                <w:b w:val="0"/>
              </w:rPr>
              <w:t xml:space="preserve"> Prosecution case files.</w:t>
            </w:r>
          </w:p>
        </w:tc>
        <w:tc>
          <w:tcPr>
            <w:tcW w:w="843" w:type="pct"/>
            <w:shd w:val="clear" w:color="auto" w:fill="auto"/>
          </w:tcPr>
          <w:p w:rsidR="0054138D" w:rsidRPr="00521625" w:rsidRDefault="0054138D" w:rsidP="00327FF3">
            <w:pPr>
              <w:pStyle w:val="Tabletext"/>
              <w:spacing w:before="60" w:after="60" w:line="240" w:lineRule="auto"/>
            </w:pPr>
            <w:r w:rsidRPr="00521625">
              <w:rPr>
                <w:sz w:val="22"/>
              </w:rPr>
              <w:t>12 years after business action completed.</w:t>
            </w:r>
          </w:p>
        </w:tc>
        <w:tc>
          <w:tcPr>
            <w:tcW w:w="597" w:type="pct"/>
          </w:tcPr>
          <w:p w:rsidR="0054138D" w:rsidRPr="00521625" w:rsidRDefault="0054138D" w:rsidP="00327FF3">
            <w:pPr>
              <w:pStyle w:val="Tabletext"/>
              <w:spacing w:before="60" w:after="60" w:line="240" w:lineRule="auto"/>
              <w:rPr>
                <w:sz w:val="22"/>
              </w:rPr>
            </w:pPr>
            <w:r>
              <w:rPr>
                <w:sz w:val="22"/>
              </w:rPr>
              <w:t>21 March 2018</w:t>
            </w:r>
          </w:p>
        </w:tc>
      </w:tr>
      <w:tr w:rsidR="0054138D" w:rsidRPr="00521625" w:rsidTr="0054138D">
        <w:tblPrEx>
          <w:tblCellMar>
            <w:top w:w="57" w:type="dxa"/>
            <w:left w:w="119" w:type="dxa"/>
            <w:right w:w="119" w:type="dxa"/>
          </w:tblCellMar>
        </w:tblPrEx>
        <w:tc>
          <w:tcPr>
            <w:tcW w:w="504" w:type="pct"/>
            <w:shd w:val="clear" w:color="auto" w:fill="auto"/>
          </w:tcPr>
          <w:p w:rsidR="0054138D" w:rsidRPr="00521625" w:rsidRDefault="0054138D" w:rsidP="00521625">
            <w:pPr>
              <w:pStyle w:val="Tabletext"/>
              <w:pageBreakBefore/>
              <w:spacing w:before="60" w:after="60" w:line="240" w:lineRule="auto"/>
              <w:rPr>
                <w:sz w:val="22"/>
                <w:szCs w:val="22"/>
              </w:rPr>
            </w:pPr>
            <w:r>
              <w:rPr>
                <w:sz w:val="22"/>
                <w:szCs w:val="22"/>
              </w:rPr>
              <w:lastRenderedPageBreak/>
              <w:t>2085</w:t>
            </w:r>
          </w:p>
        </w:tc>
        <w:tc>
          <w:tcPr>
            <w:tcW w:w="3057" w:type="pct"/>
            <w:shd w:val="clear" w:color="auto" w:fill="auto"/>
          </w:tcPr>
          <w:p w:rsidR="0054138D" w:rsidRPr="00521625" w:rsidRDefault="0054138D" w:rsidP="0054138D">
            <w:pPr>
              <w:pStyle w:val="Heading3"/>
            </w:pPr>
            <w:r w:rsidRPr="00521625">
              <w:t>Advisory matters</w:t>
            </w:r>
          </w:p>
          <w:p w:rsidR="0054138D" w:rsidRPr="00521625" w:rsidRDefault="0054138D" w:rsidP="00521625">
            <w:pPr>
              <w:spacing w:before="60"/>
              <w:rPr>
                <w:rFonts w:cs="Arial"/>
                <w:szCs w:val="22"/>
              </w:rPr>
            </w:pPr>
            <w:r w:rsidRPr="00521625">
              <w:rPr>
                <w:rFonts w:cs="Arial"/>
                <w:szCs w:val="22"/>
              </w:rPr>
              <w:t xml:space="preserve">Records relating to advisory matters of the Legal Practice Committee. </w:t>
            </w:r>
          </w:p>
          <w:p w:rsidR="0054138D" w:rsidRPr="00521625" w:rsidRDefault="0054138D" w:rsidP="00521625">
            <w:pPr>
              <w:spacing w:before="60"/>
              <w:rPr>
                <w:rFonts w:cs="Arial"/>
                <w:szCs w:val="22"/>
                <w:lang w:eastAsia="en-AU"/>
              </w:rPr>
            </w:pPr>
            <w:r w:rsidRPr="00521625">
              <w:rPr>
                <w:rFonts w:cs="Arial"/>
                <w:szCs w:val="22"/>
              </w:rPr>
              <w:t>Records may include, but are not limited to:</w:t>
            </w:r>
          </w:p>
          <w:p w:rsidR="0054138D" w:rsidRPr="00521625" w:rsidRDefault="0054138D" w:rsidP="00521625">
            <w:pPr>
              <w:pStyle w:val="ListParagraph"/>
              <w:numPr>
                <w:ilvl w:val="0"/>
                <w:numId w:val="24"/>
              </w:numPr>
              <w:spacing w:before="60" w:after="60"/>
              <w:contextualSpacing w:val="0"/>
              <w:rPr>
                <w:rFonts w:cs="Arial"/>
                <w:szCs w:val="22"/>
              </w:rPr>
            </w:pPr>
            <w:r w:rsidRPr="00521625">
              <w:rPr>
                <w:rFonts w:cs="Arial"/>
                <w:szCs w:val="22"/>
              </w:rPr>
              <w:t xml:space="preserve">policy papers </w:t>
            </w:r>
          </w:p>
          <w:p w:rsidR="0054138D" w:rsidRPr="00521625" w:rsidRDefault="0054138D" w:rsidP="00521625">
            <w:pPr>
              <w:pStyle w:val="ListParagraph"/>
              <w:numPr>
                <w:ilvl w:val="0"/>
                <w:numId w:val="24"/>
              </w:numPr>
              <w:spacing w:before="60" w:after="60"/>
              <w:contextualSpacing w:val="0"/>
              <w:rPr>
                <w:rFonts w:cs="Arial"/>
                <w:szCs w:val="22"/>
              </w:rPr>
            </w:pPr>
            <w:r w:rsidRPr="00521625">
              <w:rPr>
                <w:rFonts w:cs="Arial"/>
                <w:szCs w:val="22"/>
              </w:rPr>
              <w:t xml:space="preserve">submissions gathered by willing participants in written documents </w:t>
            </w:r>
          </w:p>
          <w:p w:rsidR="0054138D" w:rsidRPr="00521625" w:rsidRDefault="0054138D" w:rsidP="00521625">
            <w:pPr>
              <w:pStyle w:val="ListParagraph"/>
              <w:numPr>
                <w:ilvl w:val="0"/>
                <w:numId w:val="24"/>
              </w:numPr>
              <w:spacing w:before="60" w:after="60"/>
              <w:contextualSpacing w:val="0"/>
              <w:rPr>
                <w:rFonts w:cs="Arial"/>
                <w:szCs w:val="22"/>
              </w:rPr>
            </w:pPr>
            <w:r w:rsidRPr="00521625">
              <w:rPr>
                <w:rFonts w:cs="Arial"/>
                <w:szCs w:val="22"/>
              </w:rPr>
              <w:t xml:space="preserve">minutes and agendas </w:t>
            </w:r>
          </w:p>
          <w:p w:rsidR="0054138D" w:rsidRPr="00521625" w:rsidRDefault="0054138D" w:rsidP="00521625">
            <w:pPr>
              <w:pStyle w:val="ListParagraph"/>
              <w:numPr>
                <w:ilvl w:val="0"/>
                <w:numId w:val="24"/>
              </w:numPr>
              <w:spacing w:before="60" w:after="60"/>
              <w:contextualSpacing w:val="0"/>
              <w:rPr>
                <w:rFonts w:cs="Arial"/>
                <w:szCs w:val="22"/>
              </w:rPr>
            </w:pPr>
            <w:r w:rsidRPr="00521625">
              <w:rPr>
                <w:rFonts w:cs="Arial"/>
                <w:szCs w:val="22"/>
              </w:rPr>
              <w:t xml:space="preserve">reference materials </w:t>
            </w:r>
          </w:p>
          <w:p w:rsidR="0054138D" w:rsidRPr="00521625" w:rsidRDefault="0054138D" w:rsidP="00521625">
            <w:pPr>
              <w:pStyle w:val="ListParagraph"/>
              <w:numPr>
                <w:ilvl w:val="0"/>
                <w:numId w:val="24"/>
              </w:numPr>
              <w:spacing w:before="60" w:after="60"/>
              <w:contextualSpacing w:val="0"/>
              <w:rPr>
                <w:rFonts w:cs="Arial"/>
                <w:szCs w:val="22"/>
              </w:rPr>
            </w:pPr>
            <w:r w:rsidRPr="00521625">
              <w:rPr>
                <w:rFonts w:cs="Arial"/>
                <w:szCs w:val="22"/>
              </w:rPr>
              <w:t>opinions from counsel or legal representatives</w:t>
            </w:r>
          </w:p>
          <w:p w:rsidR="0054138D" w:rsidRPr="00521625" w:rsidRDefault="0054138D" w:rsidP="00521625">
            <w:pPr>
              <w:pStyle w:val="Heading30"/>
              <w:numPr>
                <w:ilvl w:val="0"/>
                <w:numId w:val="24"/>
              </w:numPr>
              <w:spacing w:before="60" w:after="60"/>
              <w:rPr>
                <w:b w:val="0"/>
              </w:rPr>
            </w:pPr>
            <w:r w:rsidRPr="00521625">
              <w:rPr>
                <w:rFonts w:cs="Arial"/>
                <w:b w:val="0"/>
              </w:rPr>
              <w:t>transcripts.</w:t>
            </w:r>
          </w:p>
        </w:tc>
        <w:tc>
          <w:tcPr>
            <w:tcW w:w="843" w:type="pct"/>
            <w:shd w:val="clear" w:color="auto" w:fill="auto"/>
          </w:tcPr>
          <w:p w:rsidR="0054138D" w:rsidRPr="00521625" w:rsidRDefault="0054138D" w:rsidP="00521625">
            <w:pPr>
              <w:pStyle w:val="Tabletext"/>
              <w:spacing w:before="60" w:after="60" w:line="240" w:lineRule="auto"/>
              <w:rPr>
                <w:sz w:val="22"/>
              </w:rPr>
            </w:pPr>
            <w:r w:rsidRPr="00521625">
              <w:rPr>
                <w:sz w:val="22"/>
              </w:rPr>
              <w:t>Permanent.</w:t>
            </w:r>
          </w:p>
          <w:p w:rsidR="0054138D" w:rsidRPr="00521625" w:rsidRDefault="0054138D" w:rsidP="00521625">
            <w:pPr>
              <w:pStyle w:val="Tabletext"/>
              <w:spacing w:before="60" w:after="60" w:line="240" w:lineRule="auto"/>
            </w:pPr>
            <w:r w:rsidRPr="00521625">
              <w:rPr>
                <w:sz w:val="22"/>
              </w:rPr>
              <w:t>Transfer to QSA after business action completed.</w:t>
            </w:r>
          </w:p>
        </w:tc>
        <w:tc>
          <w:tcPr>
            <w:tcW w:w="597" w:type="pct"/>
          </w:tcPr>
          <w:p w:rsidR="0054138D" w:rsidRPr="00521625" w:rsidRDefault="0054138D" w:rsidP="00521625">
            <w:pPr>
              <w:pStyle w:val="Tabletext"/>
              <w:spacing w:before="60" w:after="60" w:line="240" w:lineRule="auto"/>
              <w:rPr>
                <w:sz w:val="22"/>
              </w:rPr>
            </w:pPr>
            <w:r>
              <w:rPr>
                <w:sz w:val="22"/>
              </w:rPr>
              <w:t>21 March 2018</w:t>
            </w:r>
          </w:p>
        </w:tc>
      </w:tr>
    </w:tbl>
    <w:p w:rsidR="00242F03" w:rsidRPr="00521625" w:rsidRDefault="00242F03" w:rsidP="00327FF3">
      <w:pPr>
        <w:spacing w:before="60" w:line="240" w:lineRule="auto"/>
        <w:rPr>
          <w:rStyle w:val="Heading2Char"/>
          <w:szCs w:val="36"/>
        </w:rPr>
      </w:pPr>
    </w:p>
    <w:p w:rsidR="00B742A2" w:rsidRPr="006A7BB9" w:rsidRDefault="00B742A2" w:rsidP="00327FF3">
      <w:pPr>
        <w:spacing w:before="60"/>
      </w:pPr>
    </w:p>
    <w:sectPr w:rsidR="00B742A2" w:rsidRPr="006A7BB9" w:rsidSect="00F80D80">
      <w:headerReference w:type="even" r:id="rId16"/>
      <w:headerReference w:type="default" r:id="rId17"/>
      <w:footerReference w:type="even" r:id="rId18"/>
      <w:footerReference w:type="default" r:id="rId19"/>
      <w:headerReference w:type="first" r:id="rId20"/>
      <w:footerReference w:type="first" r:id="rId21"/>
      <w:pgSz w:w="16838" w:h="11906" w:orient="landscape" w:code="9"/>
      <w:pgMar w:top="1134" w:right="851" w:bottom="1077" w:left="851" w:header="397"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7AD8" w:rsidRDefault="003D7AD8" w:rsidP="003E5091">
      <w:r>
        <w:separator/>
      </w:r>
    </w:p>
  </w:endnote>
  <w:endnote w:type="continuationSeparator" w:id="0">
    <w:p w:rsidR="003D7AD8" w:rsidRDefault="003D7AD8" w:rsidP="003E5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4656" w:rsidRDefault="00D04656" w:rsidP="008963FA">
    <w:pPr>
      <w:pStyle w:val="Footer-landscape"/>
      <w:ind w:left="-480" w:right="-464" w:firstLine="480"/>
    </w:pPr>
    <w:r>
      <w:t xml:space="preserve">Page </w:t>
    </w:r>
    <w:r>
      <w:rPr>
        <w:rStyle w:val="PageNumber"/>
      </w:rPr>
      <w:fldChar w:fldCharType="begin"/>
    </w:r>
    <w:r>
      <w:rPr>
        <w:rStyle w:val="PageNumber"/>
      </w:rPr>
      <w:instrText xml:space="preserve"> PAGE </w:instrText>
    </w:r>
    <w:r>
      <w:rPr>
        <w:rStyle w:val="PageNumber"/>
      </w:rPr>
      <w:fldChar w:fldCharType="separate"/>
    </w:r>
    <w:r w:rsidR="00F80D80">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047265">
      <w:rPr>
        <w:rStyle w:val="PageNumber"/>
        <w:noProof/>
      </w:rPr>
      <w:t>9</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4656" w:rsidRPr="00540F6D" w:rsidRDefault="009A3861" w:rsidP="00540F6D">
    <w:pPr>
      <w:pStyle w:val="Footer-landscape"/>
      <w:pBdr>
        <w:top w:val="none" w:sz="0" w:space="0" w:color="auto"/>
      </w:pBdr>
      <w:tabs>
        <w:tab w:val="clear" w:pos="14572"/>
        <w:tab w:val="right" w:pos="15120"/>
      </w:tabs>
      <w:ind w:left="-426" w:right="-315"/>
      <w:rPr>
        <w:b/>
      </w:rPr>
    </w:pPr>
    <w:r w:rsidRPr="009A3861">
      <w:rPr>
        <w:b/>
        <w:szCs w:val="22"/>
      </w:rPr>
      <w:t>Queensland State Archives</w:t>
    </w:r>
    <w:r w:rsidR="00D04656" w:rsidRPr="00540F6D">
      <w:rPr>
        <w:b/>
      </w:rPr>
      <w:tab/>
      <w:t xml:space="preserve">Page </w:t>
    </w:r>
    <w:r w:rsidR="00D04656" w:rsidRPr="00540F6D">
      <w:rPr>
        <w:rStyle w:val="PageNumber"/>
        <w:b/>
      </w:rPr>
      <w:fldChar w:fldCharType="begin"/>
    </w:r>
    <w:r w:rsidR="00D04656" w:rsidRPr="00540F6D">
      <w:rPr>
        <w:rStyle w:val="PageNumber"/>
        <w:b/>
      </w:rPr>
      <w:instrText xml:space="preserve"> PAGE </w:instrText>
    </w:r>
    <w:r w:rsidR="00D04656" w:rsidRPr="00540F6D">
      <w:rPr>
        <w:rStyle w:val="PageNumber"/>
        <w:b/>
      </w:rPr>
      <w:fldChar w:fldCharType="separate"/>
    </w:r>
    <w:r w:rsidR="00047265">
      <w:rPr>
        <w:rStyle w:val="PageNumber"/>
        <w:b/>
        <w:noProof/>
      </w:rPr>
      <w:t>9</w:t>
    </w:r>
    <w:r w:rsidR="00D04656" w:rsidRPr="00540F6D">
      <w:rPr>
        <w:rStyle w:val="PageNumber"/>
        <w:b/>
      </w:rPr>
      <w:fldChar w:fldCharType="end"/>
    </w:r>
    <w:r w:rsidR="00D04656" w:rsidRPr="00540F6D">
      <w:rPr>
        <w:rStyle w:val="PageNumber"/>
        <w:b/>
      </w:rPr>
      <w:t xml:space="preserve"> of </w:t>
    </w:r>
    <w:r w:rsidR="00D04656" w:rsidRPr="00540F6D">
      <w:rPr>
        <w:rStyle w:val="PageNumber"/>
        <w:b/>
      </w:rPr>
      <w:fldChar w:fldCharType="begin"/>
    </w:r>
    <w:r w:rsidR="00D04656" w:rsidRPr="00540F6D">
      <w:rPr>
        <w:rStyle w:val="PageNumber"/>
        <w:b/>
      </w:rPr>
      <w:instrText xml:space="preserve"> NUMPAGES </w:instrText>
    </w:r>
    <w:r w:rsidR="00D04656" w:rsidRPr="00540F6D">
      <w:rPr>
        <w:rStyle w:val="PageNumber"/>
        <w:b/>
      </w:rPr>
      <w:fldChar w:fldCharType="separate"/>
    </w:r>
    <w:r w:rsidR="00047265">
      <w:rPr>
        <w:rStyle w:val="PageNumber"/>
        <w:b/>
        <w:noProof/>
      </w:rPr>
      <w:t>9</w:t>
    </w:r>
    <w:r w:rsidR="00D04656" w:rsidRPr="00540F6D">
      <w:rPr>
        <w:rStyle w:val="PageNumber"/>
        <w:b/>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4656" w:rsidRPr="009A3861" w:rsidRDefault="00B34741" w:rsidP="0039204E">
    <w:pPr>
      <w:pStyle w:val="Footer"/>
      <w:rPr>
        <w:b/>
        <w:szCs w:val="22"/>
      </w:rPr>
    </w:pPr>
    <w:r>
      <w:rPr>
        <w:b/>
        <w:noProof/>
        <w:szCs w:val="22"/>
        <w:lang w:eastAsia="en-AU"/>
      </w:rPr>
      <w:drawing>
        <wp:anchor distT="0" distB="0" distL="114300" distR="114300" simplePos="0" relativeHeight="251657728" behindDoc="1" locked="0" layoutInCell="1" allowOverlap="1">
          <wp:simplePos x="0" y="0"/>
          <wp:positionH relativeFrom="page">
            <wp:posOffset>361315</wp:posOffset>
          </wp:positionH>
          <wp:positionV relativeFrom="page">
            <wp:posOffset>6423660</wp:posOffset>
          </wp:positionV>
          <wp:extent cx="9952355" cy="903605"/>
          <wp:effectExtent l="0" t="0" r="0" b="0"/>
          <wp:wrapNone/>
          <wp:docPr id="94" name="Picture 94" descr="dsitia footer A4 landscap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dsitia footer A4 landscap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52355" cy="903605"/>
                  </a:xfrm>
                  <a:prstGeom prst="rect">
                    <a:avLst/>
                  </a:prstGeom>
                  <a:noFill/>
                </pic:spPr>
              </pic:pic>
            </a:graphicData>
          </a:graphic>
          <wp14:sizeRelH relativeFrom="page">
            <wp14:pctWidth>0</wp14:pctWidth>
          </wp14:sizeRelH>
          <wp14:sizeRelV relativeFrom="page">
            <wp14:pctHeight>0</wp14:pctHeight>
          </wp14:sizeRelV>
        </wp:anchor>
      </w:drawing>
    </w:r>
    <w:r w:rsidR="009A3861" w:rsidRPr="009A3861">
      <w:rPr>
        <w:b/>
        <w:szCs w:val="22"/>
      </w:rPr>
      <w:t>Queensland State Archives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7AD8" w:rsidRDefault="003D7AD8" w:rsidP="003E5091">
      <w:r>
        <w:separator/>
      </w:r>
    </w:p>
  </w:footnote>
  <w:footnote w:type="continuationSeparator" w:id="0">
    <w:p w:rsidR="003D7AD8" w:rsidRDefault="003D7AD8" w:rsidP="003E50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4656" w:rsidRDefault="00D04656" w:rsidP="000166C6">
    <w:pPr>
      <w:pStyle w:val="Header-landscape"/>
      <w:ind w:left="-480" w:right="-464"/>
    </w:pPr>
    <w:r>
      <w:t>Department of Science, Information Technology and Innovation</w:t>
    </w:r>
  </w:p>
  <w:p w:rsidR="00D04656" w:rsidRPr="0039204E" w:rsidRDefault="00D04656" w:rsidP="0039204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4656" w:rsidRPr="00540F6D" w:rsidRDefault="00D04656" w:rsidP="00540F6D">
    <w:pPr>
      <w:pStyle w:val="Header-landscape"/>
      <w:pBdr>
        <w:top w:val="none" w:sz="0" w:space="0" w:color="auto"/>
        <w:bottom w:val="none" w:sz="0" w:space="0" w:color="auto"/>
      </w:pBdr>
      <w:tabs>
        <w:tab w:val="clear" w:pos="14572"/>
        <w:tab w:val="right" w:pos="15168"/>
      </w:tabs>
      <w:ind w:left="-426" w:right="-315"/>
      <w:rPr>
        <w:b/>
      </w:rPr>
    </w:pPr>
    <w:r w:rsidRPr="00540F6D">
      <w:rPr>
        <w:b/>
      </w:rPr>
      <w:tab/>
    </w:r>
    <w:r w:rsidR="007872F6">
      <w:rPr>
        <w:b/>
      </w:rPr>
      <w:t>Legal Services Commission</w:t>
    </w:r>
    <w:r w:rsidRPr="00540F6D">
      <w:rPr>
        <w:b/>
      </w:rPr>
      <w:t xml:space="preserve"> of </w:t>
    </w:r>
    <w:r w:rsidR="00327FF3" w:rsidRPr="00540F6D">
      <w:rPr>
        <w:b/>
      </w:rPr>
      <w:t>r</w:t>
    </w:r>
    <w:r w:rsidRPr="00540F6D">
      <w:rPr>
        <w:b/>
      </w:rPr>
      <w:t xml:space="preserve">etention and </w:t>
    </w:r>
    <w:r w:rsidR="00327FF3" w:rsidRPr="00540F6D">
      <w:rPr>
        <w:b/>
      </w:rPr>
      <w:t>d</w:t>
    </w:r>
    <w:r w:rsidRPr="00540F6D">
      <w:rPr>
        <w:b/>
      </w:rPr>
      <w:t xml:space="preserve">isposal </w:t>
    </w:r>
    <w:r w:rsidR="00327FF3" w:rsidRPr="00540F6D">
      <w:rPr>
        <w:b/>
      </w:rPr>
      <w:t>s</w:t>
    </w:r>
    <w:r w:rsidR="00C25F1D" w:rsidRPr="00540F6D">
      <w:rPr>
        <w:b/>
      </w:rPr>
      <w:t>chedule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4656" w:rsidRDefault="00D04656" w:rsidP="00540F6D">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A2C71"/>
    <w:multiLevelType w:val="multilevel"/>
    <w:tmpl w:val="C778EB54"/>
    <w:numStyleLink w:val="StyleNumbered"/>
  </w:abstractNum>
  <w:abstractNum w:abstractNumId="1" w15:restartNumberingAfterBreak="0">
    <w:nsid w:val="081A7239"/>
    <w:multiLevelType w:val="hybridMultilevel"/>
    <w:tmpl w:val="A4B06BF6"/>
    <w:lvl w:ilvl="0" w:tplc="E2DA4974">
      <w:start w:val="1"/>
      <w:numFmt w:val="bullet"/>
      <w:lvlText w:val=""/>
      <w:lvlJc w:val="left"/>
      <w:pPr>
        <w:tabs>
          <w:tab w:val="num" w:pos="1080"/>
        </w:tabs>
        <w:ind w:left="108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AC7701"/>
    <w:multiLevelType w:val="hybridMultilevel"/>
    <w:tmpl w:val="5A8AF5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DB929BD"/>
    <w:multiLevelType w:val="hybridMultilevel"/>
    <w:tmpl w:val="FAA64584"/>
    <w:lvl w:ilvl="0" w:tplc="E2DA4974">
      <w:start w:val="1"/>
      <w:numFmt w:val="bullet"/>
      <w:lvlText w:val=""/>
      <w:lvlJc w:val="left"/>
      <w:pPr>
        <w:tabs>
          <w:tab w:val="num" w:pos="1080"/>
        </w:tabs>
        <w:ind w:left="108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83028D2"/>
    <w:multiLevelType w:val="hybridMultilevel"/>
    <w:tmpl w:val="BD6C699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8C507D"/>
    <w:multiLevelType w:val="multilevel"/>
    <w:tmpl w:val="C778EB54"/>
    <w:styleLink w:val="StyleNumbered"/>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680"/>
        </w:tabs>
        <w:ind w:left="680" w:hanging="340"/>
      </w:pPr>
      <w:rPr>
        <w:rFonts w:ascii="Arial" w:hAnsi="Arial" w:hint="default"/>
        <w:sz w:val="22"/>
      </w:rPr>
    </w:lvl>
    <w:lvl w:ilvl="2">
      <w:start w:val="1"/>
      <w:numFmt w:val="lowerRoman"/>
      <w:pStyle w:val="ListNumber3"/>
      <w:lvlText w:val="%3."/>
      <w:lvlJc w:val="left"/>
      <w:pPr>
        <w:tabs>
          <w:tab w:val="num" w:pos="1021"/>
        </w:tabs>
        <w:ind w:left="1021" w:hanging="341"/>
      </w:pPr>
      <w:rPr>
        <w:rFonts w:hint="default"/>
      </w:rPr>
    </w:lvl>
    <w:lvl w:ilvl="3">
      <w:start w:val="1"/>
      <w:numFmt w:val="decimal"/>
      <w:pStyle w:val="ListNumber4"/>
      <w:lvlText w:val="%4."/>
      <w:lvlJc w:val="left"/>
      <w:pPr>
        <w:tabs>
          <w:tab w:val="num" w:pos="1361"/>
        </w:tabs>
        <w:ind w:left="1361" w:hanging="340"/>
      </w:pPr>
      <w:rPr>
        <w:rFonts w:hint="default"/>
      </w:rPr>
    </w:lvl>
    <w:lvl w:ilvl="4">
      <w:start w:val="1"/>
      <w:numFmt w:val="lowerLetter"/>
      <w:pStyle w:val="ListNumber5"/>
      <w:lvlText w:val="%5."/>
      <w:lvlJc w:val="left"/>
      <w:pPr>
        <w:tabs>
          <w:tab w:val="num" w:pos="1701"/>
        </w:tabs>
        <w:ind w:left="1701" w:hanging="340"/>
      </w:pPr>
      <w:rPr>
        <w:rFonts w:hint="default"/>
      </w:rPr>
    </w:lvl>
    <w:lvl w:ilvl="5">
      <w:start w:val="1"/>
      <w:numFmt w:val="none"/>
      <w:lvlText w:val="%6"/>
      <w:lvlJc w:val="right"/>
      <w:pPr>
        <w:tabs>
          <w:tab w:val="num" w:pos="4320"/>
        </w:tabs>
        <w:ind w:left="4320" w:hanging="180"/>
      </w:pPr>
      <w:rPr>
        <w:rFonts w:hint="default"/>
      </w:rPr>
    </w:lvl>
    <w:lvl w:ilvl="6">
      <w:start w:val="1"/>
      <w:numFmt w:val="none"/>
      <w:lvlText w:val="%7"/>
      <w:lvlJc w:val="left"/>
      <w:pPr>
        <w:tabs>
          <w:tab w:val="num" w:pos="5040"/>
        </w:tabs>
        <w:ind w:left="5040" w:hanging="360"/>
      </w:pPr>
      <w:rPr>
        <w:rFonts w:hint="default"/>
      </w:rPr>
    </w:lvl>
    <w:lvl w:ilvl="7">
      <w:start w:val="1"/>
      <w:numFmt w:val="none"/>
      <w:lvlText w:val="%8"/>
      <w:lvlJc w:val="left"/>
      <w:pPr>
        <w:tabs>
          <w:tab w:val="num" w:pos="5760"/>
        </w:tabs>
        <w:ind w:left="5760" w:hanging="360"/>
      </w:pPr>
      <w:rPr>
        <w:rFonts w:hint="default"/>
      </w:rPr>
    </w:lvl>
    <w:lvl w:ilvl="8">
      <w:start w:val="1"/>
      <w:numFmt w:val="none"/>
      <w:lvlText w:val="%9"/>
      <w:lvlJc w:val="right"/>
      <w:pPr>
        <w:tabs>
          <w:tab w:val="num" w:pos="6480"/>
        </w:tabs>
        <w:ind w:left="6480" w:hanging="180"/>
      </w:pPr>
      <w:rPr>
        <w:rFonts w:hint="default"/>
      </w:rPr>
    </w:lvl>
  </w:abstractNum>
  <w:abstractNum w:abstractNumId="6" w15:restartNumberingAfterBreak="0">
    <w:nsid w:val="1E107F71"/>
    <w:multiLevelType w:val="hybridMultilevel"/>
    <w:tmpl w:val="AD3ED8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5EE5081"/>
    <w:multiLevelType w:val="hybridMultilevel"/>
    <w:tmpl w:val="48A0A148"/>
    <w:lvl w:ilvl="0" w:tplc="4264564E">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8F57488"/>
    <w:multiLevelType w:val="hybridMultilevel"/>
    <w:tmpl w:val="45E022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4031C57"/>
    <w:multiLevelType w:val="hybridMultilevel"/>
    <w:tmpl w:val="F12E38B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833B57"/>
    <w:multiLevelType w:val="hybridMultilevel"/>
    <w:tmpl w:val="788067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9435868"/>
    <w:multiLevelType w:val="hybridMultilevel"/>
    <w:tmpl w:val="B60C9D7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B6C42BF"/>
    <w:multiLevelType w:val="hybridMultilevel"/>
    <w:tmpl w:val="AA8645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B9552A7"/>
    <w:multiLevelType w:val="multilevel"/>
    <w:tmpl w:val="B7EA22CA"/>
    <w:name w:val="Bullets22"/>
    <w:lvl w:ilvl="0">
      <w:start w:val="1"/>
      <w:numFmt w:val="bullet"/>
      <w:pStyle w:val="ListBullet"/>
      <w:lvlText w:val=""/>
      <w:lvlJc w:val="left"/>
      <w:pPr>
        <w:tabs>
          <w:tab w:val="num" w:pos="340"/>
        </w:tabs>
        <w:ind w:left="340" w:hanging="340"/>
      </w:pPr>
      <w:rPr>
        <w:rFonts w:ascii="Symbol" w:hAnsi="Symbol" w:hint="default"/>
        <w:color w:val="auto"/>
      </w:rPr>
    </w:lvl>
    <w:lvl w:ilvl="1">
      <w:start w:val="1"/>
      <w:numFmt w:val="bullet"/>
      <w:pStyle w:val="ListBullet2"/>
      <w:lvlText w:val="–"/>
      <w:lvlJc w:val="left"/>
      <w:pPr>
        <w:tabs>
          <w:tab w:val="num" w:pos="680"/>
        </w:tabs>
        <w:ind w:left="680" w:hanging="340"/>
      </w:pPr>
      <w:rPr>
        <w:rFonts w:ascii="Arial" w:hAnsi="Arial" w:hint="default"/>
      </w:rPr>
    </w:lvl>
    <w:lvl w:ilvl="2">
      <w:start w:val="1"/>
      <w:numFmt w:val="bullet"/>
      <w:pStyle w:val="ListBullet3"/>
      <w:lvlText w:val="◦"/>
      <w:lvlJc w:val="left"/>
      <w:pPr>
        <w:tabs>
          <w:tab w:val="num" w:pos="1021"/>
        </w:tabs>
        <w:ind w:left="1021" w:hanging="341"/>
      </w:pPr>
      <w:rPr>
        <w:rFonts w:ascii="Arial" w:hAnsi="Arial" w:hint="default"/>
      </w:rPr>
    </w:lvl>
    <w:lvl w:ilvl="3">
      <w:start w:val="1"/>
      <w:numFmt w:val="bullet"/>
      <w:pStyle w:val="ListBullet4"/>
      <w:lvlText w:val="▪"/>
      <w:lvlJc w:val="left"/>
      <w:pPr>
        <w:tabs>
          <w:tab w:val="num" w:pos="1361"/>
        </w:tabs>
        <w:ind w:left="1361" w:hanging="340"/>
      </w:pPr>
      <w:rPr>
        <w:rFonts w:ascii="Arial" w:hAnsi="Arial" w:hint="default"/>
      </w:rPr>
    </w:lvl>
    <w:lvl w:ilvl="4">
      <w:start w:val="1"/>
      <w:numFmt w:val="bullet"/>
      <w:pStyle w:val="ListBullet5"/>
      <w:lvlText w:val="–"/>
      <w:lvlJc w:val="left"/>
      <w:pPr>
        <w:tabs>
          <w:tab w:val="num" w:pos="1701"/>
        </w:tabs>
        <w:ind w:left="1701" w:hanging="340"/>
      </w:pPr>
      <w:rPr>
        <w:rFonts w:ascii="Arial" w:hAnsi="Arial"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4" w15:restartNumberingAfterBreak="0">
    <w:nsid w:val="4EE43729"/>
    <w:multiLevelType w:val="hybridMultilevel"/>
    <w:tmpl w:val="9CAE2A6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5E91174"/>
    <w:multiLevelType w:val="hybridMultilevel"/>
    <w:tmpl w:val="754EA12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1D873C8"/>
    <w:multiLevelType w:val="hybridMultilevel"/>
    <w:tmpl w:val="F5A2D962"/>
    <w:lvl w:ilvl="0" w:tplc="0C090001">
      <w:start w:val="1"/>
      <w:numFmt w:val="bullet"/>
      <w:lvlText w:val=""/>
      <w:lvlJc w:val="left"/>
      <w:pPr>
        <w:tabs>
          <w:tab w:val="num" w:pos="720"/>
        </w:tabs>
        <w:ind w:left="720" w:hanging="360"/>
      </w:pPr>
      <w:rPr>
        <w:rFonts w:ascii="Symbol" w:hAnsi="Symbol" w:hint="default"/>
      </w:rPr>
    </w:lvl>
    <w:lvl w:ilvl="1" w:tplc="BF607CAE">
      <w:start w:val="1"/>
      <w:numFmt w:val="bullet"/>
      <w:lvlText w:val=""/>
      <w:lvlJc w:val="left"/>
      <w:pPr>
        <w:tabs>
          <w:tab w:val="num" w:pos="1440"/>
        </w:tabs>
        <w:ind w:left="1440" w:hanging="360"/>
      </w:pPr>
      <w:rPr>
        <w:rFonts w:ascii="Symbol" w:hAnsi="Symbol" w:hint="default"/>
        <w:color w:val="auto"/>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3905712"/>
    <w:multiLevelType w:val="hybridMultilevel"/>
    <w:tmpl w:val="0BF29444"/>
    <w:lvl w:ilvl="0" w:tplc="E2DA4974">
      <w:start w:val="1"/>
      <w:numFmt w:val="bullet"/>
      <w:lvlText w:val=""/>
      <w:lvlJc w:val="left"/>
      <w:pPr>
        <w:tabs>
          <w:tab w:val="num" w:pos="1080"/>
        </w:tabs>
        <w:ind w:left="108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4EB5176"/>
    <w:multiLevelType w:val="hybridMultilevel"/>
    <w:tmpl w:val="38DEF7D0"/>
    <w:lvl w:ilvl="0" w:tplc="93DCF30A">
      <w:start w:val="1"/>
      <w:numFmt w:val="bullet"/>
      <w:lvlText w:val=""/>
      <w:lvlJc w:val="left"/>
      <w:pPr>
        <w:tabs>
          <w:tab w:val="num" w:pos="2199"/>
        </w:tabs>
        <w:ind w:left="2199" w:hanging="284"/>
      </w:pPr>
      <w:rPr>
        <w:rFonts w:ascii="Symbol" w:hAnsi="Symbol" w:hint="default"/>
        <w:b w:val="0"/>
        <w:i w:val="0"/>
        <w:color w:val="D31145"/>
        <w:sz w:val="22"/>
        <w:szCs w:val="22"/>
      </w:rPr>
    </w:lvl>
    <w:lvl w:ilvl="1" w:tplc="BCC445BC">
      <w:start w:val="1"/>
      <w:numFmt w:val="bullet"/>
      <w:lvlText w:val="–"/>
      <w:lvlJc w:val="left"/>
      <w:pPr>
        <w:tabs>
          <w:tab w:val="num" w:pos="1420"/>
        </w:tabs>
        <w:ind w:left="1420" w:hanging="340"/>
      </w:pPr>
      <w:rPr>
        <w:rFonts w:ascii="Arial" w:hAnsi="Arial" w:hint="default"/>
        <w:b w:val="0"/>
        <w:i w:val="0"/>
        <w:caps w:val="0"/>
        <w:smallCaps w:val="0"/>
        <w:strike w:val="0"/>
        <w:dstrike w:val="0"/>
        <w:vanish w:val="0"/>
        <w:color w:val="2E526B"/>
        <w:spacing w:val="0"/>
        <w:w w:val="100"/>
        <w:kern w:val="0"/>
        <w:position w:val="0"/>
        <w:sz w:val="22"/>
        <w:szCs w:val="22"/>
        <w:u w:val="none"/>
        <w:effect w:val="none"/>
        <w:vertAlign w:val="baseline"/>
        <w:em w:val="none"/>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74E73B6"/>
    <w:multiLevelType w:val="hybridMultilevel"/>
    <w:tmpl w:val="B6427508"/>
    <w:lvl w:ilvl="0" w:tplc="4264564E">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960445B"/>
    <w:multiLevelType w:val="hybridMultilevel"/>
    <w:tmpl w:val="4DE81B4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C0F3D0C"/>
    <w:multiLevelType w:val="hybridMultilevel"/>
    <w:tmpl w:val="7BA28D04"/>
    <w:lvl w:ilvl="0" w:tplc="21C881B0">
      <w:start w:val="1"/>
      <w:numFmt w:val="bullet"/>
      <w:lvlText w:val=""/>
      <w:lvlJc w:val="left"/>
      <w:pPr>
        <w:tabs>
          <w:tab w:val="num" w:pos="2199"/>
        </w:tabs>
        <w:ind w:left="2199" w:hanging="284"/>
      </w:pPr>
      <w:rPr>
        <w:rFonts w:ascii="Symbol" w:hAnsi="Symbol" w:hint="default"/>
        <w:b w:val="0"/>
        <w:i w:val="0"/>
        <w:color w:val="D31145"/>
        <w:sz w:val="22"/>
        <w:szCs w:val="22"/>
      </w:rPr>
    </w:lvl>
    <w:lvl w:ilvl="1" w:tplc="6886683E">
      <w:start w:val="1"/>
      <w:numFmt w:val="bullet"/>
      <w:lvlText w:val="–"/>
      <w:lvlJc w:val="left"/>
      <w:pPr>
        <w:tabs>
          <w:tab w:val="num" w:pos="1420"/>
        </w:tabs>
        <w:ind w:left="1420" w:hanging="340"/>
      </w:pPr>
      <w:rPr>
        <w:rFonts w:ascii="Arial" w:hAnsi="Arial" w:hint="default"/>
        <w:b w:val="0"/>
        <w:i w:val="0"/>
        <w:color w:val="D31145"/>
        <w:sz w:val="22"/>
        <w:szCs w:val="22"/>
      </w:rPr>
    </w:lvl>
    <w:lvl w:ilvl="2" w:tplc="0C090005">
      <w:start w:val="1"/>
      <w:numFmt w:val="bullet"/>
      <w:lvlText w:val="▪"/>
      <w:lvlJc w:val="left"/>
      <w:pPr>
        <w:tabs>
          <w:tab w:val="num" w:pos="2160"/>
        </w:tabs>
        <w:ind w:left="2160" w:hanging="360"/>
      </w:pPr>
      <w:rPr>
        <w:rFonts w:ascii="Courier New" w:hAnsi="Courier New" w:hint="default"/>
        <w:b w:val="0"/>
        <w:i w:val="0"/>
        <w:caps w:val="0"/>
        <w:smallCaps w:val="0"/>
        <w:strike w:val="0"/>
        <w:dstrike w:val="0"/>
        <w:vanish w:val="0"/>
        <w:color w:val="2E526B"/>
        <w:spacing w:val="0"/>
        <w:w w:val="100"/>
        <w:kern w:val="0"/>
        <w:position w:val="0"/>
        <w:sz w:val="22"/>
        <w:szCs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261488E"/>
    <w:multiLevelType w:val="hybridMultilevel"/>
    <w:tmpl w:val="918C25F2"/>
    <w:lvl w:ilvl="0" w:tplc="F77860AC">
      <w:start w:val="1"/>
      <w:numFmt w:val="bullet"/>
      <w:pStyle w:val="QSABullet"/>
      <w:lvlText w:val=""/>
      <w:lvlJc w:val="left"/>
      <w:pPr>
        <w:ind w:left="780" w:hanging="78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78A651DA"/>
    <w:multiLevelType w:val="hybridMultilevel"/>
    <w:tmpl w:val="7C0E95E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0"/>
  </w:num>
  <w:num w:numId="3">
    <w:abstractNumId w:val="13"/>
  </w:num>
  <w:num w:numId="4">
    <w:abstractNumId w:val="21"/>
  </w:num>
  <w:num w:numId="5">
    <w:abstractNumId w:val="18"/>
  </w:num>
  <w:num w:numId="6">
    <w:abstractNumId w:val="2"/>
  </w:num>
  <w:num w:numId="7">
    <w:abstractNumId w:val="14"/>
  </w:num>
  <w:num w:numId="8">
    <w:abstractNumId w:val="16"/>
  </w:num>
  <w:num w:numId="9">
    <w:abstractNumId w:val="20"/>
  </w:num>
  <w:num w:numId="10">
    <w:abstractNumId w:val="11"/>
  </w:num>
  <w:num w:numId="11">
    <w:abstractNumId w:val="4"/>
  </w:num>
  <w:num w:numId="12">
    <w:abstractNumId w:val="9"/>
  </w:num>
  <w:num w:numId="13">
    <w:abstractNumId w:val="22"/>
  </w:num>
  <w:num w:numId="14">
    <w:abstractNumId w:val="15"/>
  </w:num>
  <w:num w:numId="15">
    <w:abstractNumId w:val="23"/>
  </w:num>
  <w:num w:numId="16">
    <w:abstractNumId w:val="6"/>
  </w:num>
  <w:num w:numId="17">
    <w:abstractNumId w:val="12"/>
  </w:num>
  <w:num w:numId="18">
    <w:abstractNumId w:val="1"/>
  </w:num>
  <w:num w:numId="19">
    <w:abstractNumId w:val="3"/>
  </w:num>
  <w:num w:numId="20">
    <w:abstractNumId w:val="19"/>
  </w:num>
  <w:num w:numId="21">
    <w:abstractNumId w:val="17"/>
  </w:num>
  <w:num w:numId="22">
    <w:abstractNumId w:val="7"/>
  </w:num>
  <w:num w:numId="23">
    <w:abstractNumId w:val="10"/>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154"/>
    <w:rsid w:val="000166C6"/>
    <w:rsid w:val="00042759"/>
    <w:rsid w:val="00044E6D"/>
    <w:rsid w:val="00047265"/>
    <w:rsid w:val="000873AF"/>
    <w:rsid w:val="000D285D"/>
    <w:rsid w:val="000E3B0C"/>
    <w:rsid w:val="000F715F"/>
    <w:rsid w:val="001E363C"/>
    <w:rsid w:val="001F6C03"/>
    <w:rsid w:val="002245BA"/>
    <w:rsid w:val="002277F8"/>
    <w:rsid w:val="00241EE1"/>
    <w:rsid w:val="00242F03"/>
    <w:rsid w:val="00255865"/>
    <w:rsid w:val="002C71EC"/>
    <w:rsid w:val="002E183D"/>
    <w:rsid w:val="002E1930"/>
    <w:rsid w:val="00303A49"/>
    <w:rsid w:val="00322926"/>
    <w:rsid w:val="00327FF3"/>
    <w:rsid w:val="00353EC4"/>
    <w:rsid w:val="00370C0E"/>
    <w:rsid w:val="0039204E"/>
    <w:rsid w:val="003D0E2F"/>
    <w:rsid w:val="003D341E"/>
    <w:rsid w:val="003D7AD8"/>
    <w:rsid w:val="00416628"/>
    <w:rsid w:val="0042675D"/>
    <w:rsid w:val="004673C1"/>
    <w:rsid w:val="00514793"/>
    <w:rsid w:val="00521625"/>
    <w:rsid w:val="00535527"/>
    <w:rsid w:val="00540F6D"/>
    <w:rsid w:val="0054138D"/>
    <w:rsid w:val="00563DC3"/>
    <w:rsid w:val="005670FE"/>
    <w:rsid w:val="00581DFA"/>
    <w:rsid w:val="005B6BE4"/>
    <w:rsid w:val="005E49D0"/>
    <w:rsid w:val="005F3F90"/>
    <w:rsid w:val="00610371"/>
    <w:rsid w:val="00635BB2"/>
    <w:rsid w:val="006540FE"/>
    <w:rsid w:val="00655856"/>
    <w:rsid w:val="006A7BB9"/>
    <w:rsid w:val="006D21F3"/>
    <w:rsid w:val="007872F6"/>
    <w:rsid w:val="008308B3"/>
    <w:rsid w:val="00854B73"/>
    <w:rsid w:val="008963FA"/>
    <w:rsid w:val="008D0500"/>
    <w:rsid w:val="00933D3A"/>
    <w:rsid w:val="00963EE7"/>
    <w:rsid w:val="009A3861"/>
    <w:rsid w:val="009D4845"/>
    <w:rsid w:val="009F42B7"/>
    <w:rsid w:val="00A47DCB"/>
    <w:rsid w:val="00AB1F8D"/>
    <w:rsid w:val="00AE0F56"/>
    <w:rsid w:val="00AE3516"/>
    <w:rsid w:val="00B045AB"/>
    <w:rsid w:val="00B1179B"/>
    <w:rsid w:val="00B22CFD"/>
    <w:rsid w:val="00B34741"/>
    <w:rsid w:val="00B349B9"/>
    <w:rsid w:val="00B742A2"/>
    <w:rsid w:val="00BD3584"/>
    <w:rsid w:val="00BD7BE0"/>
    <w:rsid w:val="00C01352"/>
    <w:rsid w:val="00C25F1D"/>
    <w:rsid w:val="00C52ABB"/>
    <w:rsid w:val="00CE273A"/>
    <w:rsid w:val="00D04656"/>
    <w:rsid w:val="00D20A2A"/>
    <w:rsid w:val="00D5449F"/>
    <w:rsid w:val="00D7714D"/>
    <w:rsid w:val="00E22FCA"/>
    <w:rsid w:val="00E41060"/>
    <w:rsid w:val="00E465C2"/>
    <w:rsid w:val="00E5471E"/>
    <w:rsid w:val="00E97154"/>
    <w:rsid w:val="00EB72A7"/>
    <w:rsid w:val="00ED2E22"/>
    <w:rsid w:val="00F14029"/>
    <w:rsid w:val="00F24B61"/>
    <w:rsid w:val="00F50DC7"/>
    <w:rsid w:val="00F70F1D"/>
    <w:rsid w:val="00F80D80"/>
    <w:rsid w:val="00F84696"/>
    <w:rsid w:val="00F9483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6BE4"/>
    <w:pPr>
      <w:spacing w:before="180" w:after="60" w:line="264" w:lineRule="auto"/>
    </w:pPr>
    <w:rPr>
      <w:rFonts w:ascii="Arial" w:hAnsi="Arial"/>
      <w:sz w:val="22"/>
      <w:szCs w:val="24"/>
      <w:lang w:eastAsia="en-US"/>
    </w:rPr>
  </w:style>
  <w:style w:type="paragraph" w:styleId="Heading1">
    <w:name w:val="heading 1"/>
    <w:aliases w:val="H1 Function"/>
    <w:basedOn w:val="Normal"/>
    <w:next w:val="Normal"/>
    <w:qFormat/>
    <w:rsid w:val="00E97154"/>
    <w:pPr>
      <w:autoSpaceDE w:val="0"/>
      <w:autoSpaceDN w:val="0"/>
      <w:adjustRightInd w:val="0"/>
      <w:spacing w:before="440" w:after="180"/>
      <w:outlineLvl w:val="0"/>
    </w:pPr>
    <w:rPr>
      <w:rFonts w:cs="Arial"/>
      <w:b/>
      <w:bCs/>
      <w:sz w:val="36"/>
      <w:szCs w:val="20"/>
      <w:lang w:eastAsia="en-AU"/>
    </w:rPr>
  </w:style>
  <w:style w:type="paragraph" w:styleId="Heading2">
    <w:name w:val="heading 2"/>
    <w:aliases w:val="H2 Activity"/>
    <w:basedOn w:val="Normal"/>
    <w:next w:val="Normal"/>
    <w:link w:val="Heading2Char"/>
    <w:qFormat/>
    <w:rsid w:val="0054138D"/>
    <w:pPr>
      <w:spacing w:before="60" w:line="240" w:lineRule="auto"/>
      <w:outlineLvl w:val="1"/>
    </w:pPr>
    <w:rPr>
      <w:b/>
      <w:noProof/>
    </w:rPr>
  </w:style>
  <w:style w:type="paragraph" w:styleId="Heading3">
    <w:name w:val="heading 3"/>
    <w:aliases w:val="H3 Record class"/>
    <w:basedOn w:val="Normal"/>
    <w:next w:val="Normal"/>
    <w:qFormat/>
    <w:rsid w:val="0054138D"/>
    <w:pPr>
      <w:spacing w:before="60" w:line="240" w:lineRule="auto"/>
      <w:outlineLvl w:val="2"/>
    </w:pPr>
    <w:rPr>
      <w:b/>
    </w:rPr>
  </w:style>
  <w:style w:type="paragraph" w:styleId="Heading4">
    <w:name w:val="heading 4"/>
    <w:aliases w:val="H4 Preamble headings"/>
    <w:basedOn w:val="Heading3"/>
    <w:next w:val="Normal"/>
    <w:link w:val="Heading4Char"/>
    <w:unhideWhenUsed/>
    <w:qFormat/>
    <w:rsid w:val="0054138D"/>
    <w:pPr>
      <w:outlineLvl w:val="3"/>
    </w:pPr>
    <w:rPr>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landscape">
    <w:name w:val="Header-landscape"/>
    <w:basedOn w:val="Header"/>
    <w:rsid w:val="00E97154"/>
    <w:pPr>
      <w:pBdr>
        <w:top w:val="single" w:sz="4" w:space="4" w:color="808080"/>
        <w:bottom w:val="single" w:sz="4" w:space="4" w:color="808080"/>
      </w:pBdr>
      <w:tabs>
        <w:tab w:val="clear" w:pos="9639"/>
      </w:tabs>
      <w:spacing w:after="0" w:line="240" w:lineRule="auto"/>
      <w:ind w:left="-737" w:right="-737"/>
    </w:pPr>
  </w:style>
  <w:style w:type="paragraph" w:styleId="Header">
    <w:name w:val="header"/>
    <w:basedOn w:val="Normal"/>
    <w:rsid w:val="00E97154"/>
    <w:pPr>
      <w:tabs>
        <w:tab w:val="right" w:pos="9639"/>
        <w:tab w:val="right" w:pos="14572"/>
      </w:tabs>
      <w:spacing w:before="0"/>
    </w:pPr>
    <w:rPr>
      <w:sz w:val="18"/>
    </w:rPr>
  </w:style>
  <w:style w:type="paragraph" w:styleId="Footer">
    <w:name w:val="footer"/>
    <w:basedOn w:val="Header"/>
    <w:rsid w:val="00E97154"/>
  </w:style>
  <w:style w:type="paragraph" w:styleId="ListNumber">
    <w:name w:val="List Number"/>
    <w:basedOn w:val="Normal"/>
    <w:rsid w:val="00E97154"/>
    <w:pPr>
      <w:numPr>
        <w:numId w:val="2"/>
      </w:numPr>
      <w:spacing w:before="60"/>
    </w:pPr>
  </w:style>
  <w:style w:type="numbering" w:customStyle="1" w:styleId="StyleNumbered">
    <w:name w:val="Style Numbered"/>
    <w:basedOn w:val="NoList"/>
    <w:rsid w:val="00E97154"/>
    <w:pPr>
      <w:numPr>
        <w:numId w:val="1"/>
      </w:numPr>
    </w:pPr>
  </w:style>
  <w:style w:type="paragraph" w:styleId="TOC2">
    <w:name w:val="toc 2"/>
    <w:basedOn w:val="Heading2"/>
    <w:next w:val="Normal"/>
    <w:uiPriority w:val="39"/>
    <w:rsid w:val="00E97154"/>
    <w:pPr>
      <w:tabs>
        <w:tab w:val="right" w:leader="dot" w:pos="14600"/>
      </w:tabs>
      <w:spacing w:before="120" w:after="0"/>
      <w:ind w:left="340"/>
    </w:pPr>
  </w:style>
  <w:style w:type="paragraph" w:styleId="ListNumber2">
    <w:name w:val="List Number 2"/>
    <w:basedOn w:val="Normal"/>
    <w:rsid w:val="00E97154"/>
    <w:pPr>
      <w:numPr>
        <w:ilvl w:val="1"/>
        <w:numId w:val="2"/>
      </w:numPr>
      <w:spacing w:before="60"/>
    </w:pPr>
  </w:style>
  <w:style w:type="paragraph" w:styleId="ListBullet">
    <w:name w:val="List Bullet"/>
    <w:basedOn w:val="Normal"/>
    <w:rsid w:val="00E97154"/>
    <w:pPr>
      <w:numPr>
        <w:numId w:val="3"/>
      </w:numPr>
      <w:spacing w:before="60"/>
    </w:pPr>
  </w:style>
  <w:style w:type="paragraph" w:styleId="ListNumber3">
    <w:name w:val="List Number 3"/>
    <w:basedOn w:val="Normal"/>
    <w:rsid w:val="00E97154"/>
    <w:pPr>
      <w:numPr>
        <w:ilvl w:val="2"/>
        <w:numId w:val="2"/>
      </w:numPr>
      <w:tabs>
        <w:tab w:val="clear" w:pos="1021"/>
        <w:tab w:val="left" w:pos="340"/>
      </w:tabs>
      <w:spacing w:before="60"/>
      <w:ind w:left="340" w:hanging="340"/>
    </w:pPr>
  </w:style>
  <w:style w:type="paragraph" w:styleId="ListBullet2">
    <w:name w:val="List Bullet 2"/>
    <w:basedOn w:val="Normal"/>
    <w:rsid w:val="00E97154"/>
    <w:pPr>
      <w:numPr>
        <w:ilvl w:val="1"/>
        <w:numId w:val="3"/>
      </w:numPr>
      <w:spacing w:before="60"/>
    </w:pPr>
  </w:style>
  <w:style w:type="paragraph" w:styleId="ListBullet3">
    <w:name w:val="List Bullet 3"/>
    <w:basedOn w:val="Normal"/>
    <w:rsid w:val="00E97154"/>
    <w:pPr>
      <w:numPr>
        <w:ilvl w:val="2"/>
        <w:numId w:val="3"/>
      </w:numPr>
      <w:spacing w:before="60"/>
      <w:ind w:left="1020" w:hanging="340"/>
    </w:pPr>
  </w:style>
  <w:style w:type="paragraph" w:styleId="ListBullet4">
    <w:name w:val="List Bullet 4"/>
    <w:basedOn w:val="Normal"/>
    <w:rsid w:val="00E97154"/>
    <w:pPr>
      <w:numPr>
        <w:ilvl w:val="3"/>
        <w:numId w:val="3"/>
      </w:numPr>
      <w:spacing w:before="120"/>
    </w:pPr>
  </w:style>
  <w:style w:type="paragraph" w:styleId="ListBullet5">
    <w:name w:val="List Bullet 5"/>
    <w:basedOn w:val="Normal"/>
    <w:rsid w:val="00E97154"/>
    <w:pPr>
      <w:numPr>
        <w:ilvl w:val="4"/>
        <w:numId w:val="3"/>
      </w:numPr>
    </w:pPr>
  </w:style>
  <w:style w:type="paragraph" w:styleId="ListNumber4">
    <w:name w:val="List Number 4"/>
    <w:basedOn w:val="Normal"/>
    <w:rsid w:val="00E97154"/>
    <w:pPr>
      <w:numPr>
        <w:ilvl w:val="3"/>
        <w:numId w:val="2"/>
      </w:numPr>
      <w:spacing w:before="120"/>
    </w:pPr>
  </w:style>
  <w:style w:type="paragraph" w:styleId="ListNumber5">
    <w:name w:val="List Number 5"/>
    <w:basedOn w:val="Normal"/>
    <w:rsid w:val="00E97154"/>
    <w:pPr>
      <w:numPr>
        <w:ilvl w:val="4"/>
        <w:numId w:val="2"/>
      </w:numPr>
      <w:spacing w:before="120"/>
    </w:pPr>
  </w:style>
  <w:style w:type="character" w:styleId="Hyperlink">
    <w:name w:val="Hyperlink"/>
    <w:rsid w:val="00E97154"/>
    <w:rPr>
      <w:color w:val="5F5F5F"/>
      <w:u w:val="single"/>
    </w:rPr>
  </w:style>
  <w:style w:type="paragraph" w:customStyle="1" w:styleId="Footer-landscape">
    <w:name w:val="Footer-landscape"/>
    <w:basedOn w:val="Footer"/>
    <w:rsid w:val="00E97154"/>
    <w:pPr>
      <w:pBdr>
        <w:top w:val="single" w:sz="4" w:space="4" w:color="808080"/>
      </w:pBdr>
      <w:tabs>
        <w:tab w:val="clear" w:pos="9639"/>
      </w:tabs>
      <w:spacing w:after="0" w:line="240" w:lineRule="auto"/>
      <w:ind w:left="-737" w:right="-737"/>
    </w:pPr>
  </w:style>
  <w:style w:type="table" w:customStyle="1" w:styleId="Table-LowInk">
    <w:name w:val="Table - Low Ink"/>
    <w:basedOn w:val="TableNormal"/>
    <w:rsid w:val="00E97154"/>
    <w:rPr>
      <w:rFonts w:ascii="Arial" w:hAnsi="Arial"/>
      <w:sz w:val="22"/>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57" w:type="dxa"/>
        <w:left w:w="119" w:type="dxa"/>
        <w:bottom w:w="28" w:type="dxa"/>
        <w:right w:w="119" w:type="dxa"/>
      </w:tblCellMar>
    </w:tblPr>
    <w:tblStylePr w:type="firstRow">
      <w:rPr>
        <w:rFonts w:ascii="Arial" w:hAnsi="Arial"/>
        <w:b/>
        <w:color w:val="auto"/>
        <w:sz w:val="24"/>
      </w:rPr>
      <w:tblPr>
        <w:tblCellMar>
          <w:top w:w="0" w:type="dxa"/>
          <w:left w:w="113" w:type="dxa"/>
          <w:bottom w:w="28" w:type="dxa"/>
          <w:right w:w="113" w:type="dxa"/>
        </w:tblCellMar>
      </w:tblPr>
      <w:tcPr>
        <w:tcBorders>
          <w:top w:val="single" w:sz="4" w:space="0" w:color="C0C0C0"/>
          <w:left w:val="single" w:sz="4" w:space="0" w:color="C0C0C0"/>
          <w:bottom w:val="single" w:sz="18" w:space="0" w:color="C0C0C0"/>
          <w:right w:val="single" w:sz="4" w:space="0" w:color="C0C0C0"/>
          <w:insideH w:val="single" w:sz="18" w:space="0" w:color="C0C0C0"/>
          <w:insideV w:val="single" w:sz="4" w:space="0" w:color="C0C0C0"/>
          <w:tl2br w:val="nil"/>
          <w:tr2bl w:val="nil"/>
        </w:tcBorders>
        <w:shd w:val="clear" w:color="auto" w:fill="FFFFFF"/>
      </w:tcPr>
    </w:tblStylePr>
    <w:tblStylePr w:type="lastRow">
      <w:tblPr/>
      <w:tcPr>
        <w:tcBorders>
          <w:top w:val="single" w:sz="4" w:space="0" w:color="C0C0C0"/>
          <w:left w:val="single" w:sz="4" w:space="0" w:color="C0C0C0"/>
          <w:bottom w:val="single" w:sz="12" w:space="0" w:color="C0C0C0"/>
          <w:right w:val="single" w:sz="4" w:space="0" w:color="C0C0C0"/>
          <w:insideH w:val="nil"/>
          <w:insideV w:val="single" w:sz="4" w:space="0" w:color="C0C0C0"/>
          <w:tl2br w:val="nil"/>
          <w:tr2bl w:val="nil"/>
        </w:tcBorders>
      </w:tcPr>
    </w:tblStylePr>
    <w:tblStylePr w:type="firstCol">
      <w:tblPr/>
      <w:tcPr>
        <w:shd w:val="clear" w:color="auto" w:fill="E6E6E6"/>
      </w:tcPr>
    </w:tblStylePr>
  </w:style>
  <w:style w:type="paragraph" w:customStyle="1" w:styleId="Tabletext">
    <w:name w:val="Table text"/>
    <w:basedOn w:val="Normal"/>
    <w:link w:val="TabletextChar"/>
    <w:rsid w:val="00E97154"/>
    <w:pPr>
      <w:spacing w:before="20" w:after="20"/>
    </w:pPr>
    <w:rPr>
      <w:sz w:val="20"/>
      <w:szCs w:val="20"/>
    </w:rPr>
  </w:style>
  <w:style w:type="character" w:styleId="PageNumber">
    <w:name w:val="page number"/>
    <w:basedOn w:val="DefaultParagraphFont"/>
    <w:rsid w:val="00E97154"/>
  </w:style>
  <w:style w:type="paragraph" w:customStyle="1" w:styleId="Heading30">
    <w:name w:val="Heading3"/>
    <w:basedOn w:val="Tabletext"/>
    <w:rsid w:val="00E97154"/>
    <w:pPr>
      <w:spacing w:before="0" w:after="0" w:line="240" w:lineRule="auto"/>
    </w:pPr>
    <w:rPr>
      <w:b/>
      <w:bCs/>
      <w:sz w:val="22"/>
      <w:szCs w:val="22"/>
    </w:rPr>
  </w:style>
  <w:style w:type="character" w:customStyle="1" w:styleId="Heading2Char">
    <w:name w:val="Heading 2 Char"/>
    <w:aliases w:val="H2 Activity Char"/>
    <w:link w:val="Heading2"/>
    <w:rsid w:val="0054138D"/>
    <w:rPr>
      <w:rFonts w:ascii="Arial" w:hAnsi="Arial"/>
      <w:b/>
      <w:noProof/>
      <w:sz w:val="22"/>
      <w:szCs w:val="24"/>
      <w:lang w:eastAsia="en-US"/>
    </w:rPr>
  </w:style>
  <w:style w:type="paragraph" w:customStyle="1" w:styleId="Documenttitle">
    <w:name w:val="Document title"/>
    <w:basedOn w:val="Heading1"/>
    <w:next w:val="Documentsubtitle"/>
    <w:rsid w:val="00F84696"/>
    <w:pPr>
      <w:keepNext/>
      <w:pBdr>
        <w:bottom w:val="single" w:sz="4" w:space="1" w:color="808080"/>
      </w:pBdr>
      <w:autoSpaceDE/>
      <w:autoSpaceDN/>
      <w:adjustRightInd/>
      <w:spacing w:before="120" w:after="120" w:line="240" w:lineRule="auto"/>
    </w:pPr>
    <w:rPr>
      <w:b w:val="0"/>
      <w:kern w:val="32"/>
      <w:sz w:val="56"/>
      <w:szCs w:val="32"/>
    </w:rPr>
  </w:style>
  <w:style w:type="paragraph" w:customStyle="1" w:styleId="Documentsubtitle">
    <w:name w:val="Document sub title"/>
    <w:basedOn w:val="Normal"/>
    <w:next w:val="Normal"/>
    <w:rsid w:val="00F84696"/>
    <w:pPr>
      <w:spacing w:before="0" w:after="320" w:line="300" w:lineRule="atLeast"/>
    </w:pPr>
    <w:rPr>
      <w:color w:val="808080"/>
      <w:sz w:val="28"/>
      <w:lang w:eastAsia="en-AU"/>
    </w:rPr>
  </w:style>
  <w:style w:type="paragraph" w:customStyle="1" w:styleId="Default">
    <w:name w:val="Default"/>
    <w:rsid w:val="009F42B7"/>
    <w:pPr>
      <w:autoSpaceDE w:val="0"/>
      <w:autoSpaceDN w:val="0"/>
      <w:adjustRightInd w:val="0"/>
    </w:pPr>
    <w:rPr>
      <w:rFonts w:ascii="Arial" w:hAnsi="Arial" w:cs="Arial"/>
      <w:color w:val="000000"/>
      <w:sz w:val="24"/>
      <w:szCs w:val="24"/>
    </w:rPr>
  </w:style>
  <w:style w:type="character" w:customStyle="1" w:styleId="TabletextChar">
    <w:name w:val="Table text Char"/>
    <w:link w:val="Tabletext"/>
    <w:locked/>
    <w:rsid w:val="009F42B7"/>
    <w:rPr>
      <w:rFonts w:ascii="Arial" w:hAnsi="Arial"/>
      <w:lang w:eastAsia="en-US"/>
    </w:rPr>
  </w:style>
  <w:style w:type="paragraph" w:customStyle="1" w:styleId="Tablesub-heading">
    <w:name w:val="Table sub-heading"/>
    <w:basedOn w:val="Normal"/>
    <w:rsid w:val="00535527"/>
    <w:pPr>
      <w:spacing w:before="120" w:after="120"/>
    </w:pPr>
    <w:rPr>
      <w:b/>
    </w:rPr>
  </w:style>
  <w:style w:type="paragraph" w:customStyle="1" w:styleId="QSABullet">
    <w:name w:val="QSA Bullet"/>
    <w:basedOn w:val="Normal"/>
    <w:link w:val="QSABulletChar"/>
    <w:autoRedefine/>
    <w:rsid w:val="00535527"/>
    <w:pPr>
      <w:widowControl w:val="0"/>
      <w:numPr>
        <w:numId w:val="13"/>
      </w:numPr>
      <w:overflowPunct w:val="0"/>
      <w:autoSpaceDE w:val="0"/>
      <w:autoSpaceDN w:val="0"/>
      <w:adjustRightInd w:val="0"/>
      <w:spacing w:before="120" w:line="240" w:lineRule="auto"/>
      <w:ind w:left="284" w:hanging="284"/>
      <w:contextualSpacing/>
      <w:textAlignment w:val="baseline"/>
    </w:pPr>
    <w:rPr>
      <w:rFonts w:cs="Arial"/>
      <w:sz w:val="24"/>
    </w:rPr>
  </w:style>
  <w:style w:type="character" w:customStyle="1" w:styleId="QSABulletChar">
    <w:name w:val="QSA Bullet Char"/>
    <w:link w:val="QSABullet"/>
    <w:locked/>
    <w:rsid w:val="00535527"/>
    <w:rPr>
      <w:rFonts w:ascii="Arial" w:hAnsi="Arial" w:cs="Arial"/>
      <w:sz w:val="24"/>
      <w:szCs w:val="24"/>
      <w:lang w:eastAsia="en-US"/>
    </w:rPr>
  </w:style>
  <w:style w:type="paragraph" w:styleId="NormalWeb">
    <w:name w:val="Normal (Web)"/>
    <w:basedOn w:val="Normal"/>
    <w:uiPriority w:val="99"/>
    <w:unhideWhenUsed/>
    <w:rsid w:val="00521625"/>
    <w:pPr>
      <w:spacing w:before="100" w:beforeAutospacing="1" w:after="100" w:afterAutospacing="1" w:line="240" w:lineRule="auto"/>
    </w:pPr>
    <w:rPr>
      <w:rFonts w:ascii="Times New Roman" w:hAnsi="Times New Roman"/>
      <w:sz w:val="24"/>
      <w:lang w:eastAsia="en-AU"/>
    </w:rPr>
  </w:style>
  <w:style w:type="paragraph" w:styleId="ListParagraph">
    <w:name w:val="List Paragraph"/>
    <w:basedOn w:val="Normal"/>
    <w:uiPriority w:val="34"/>
    <w:qFormat/>
    <w:rsid w:val="00521625"/>
    <w:pPr>
      <w:spacing w:before="0" w:after="0" w:line="240" w:lineRule="auto"/>
      <w:ind w:left="720"/>
      <w:contextualSpacing/>
    </w:pPr>
  </w:style>
  <w:style w:type="paragraph" w:styleId="Title">
    <w:name w:val="Title"/>
    <w:basedOn w:val="Documenttitle"/>
    <w:next w:val="Normal"/>
    <w:link w:val="TitleChar"/>
    <w:qFormat/>
    <w:rsid w:val="0054138D"/>
    <w:pPr>
      <w:pBdr>
        <w:bottom w:val="none" w:sz="0" w:space="0" w:color="auto"/>
      </w:pBdr>
      <w:spacing w:before="60" w:after="60" w:line="360" w:lineRule="auto"/>
      <w:jc w:val="center"/>
    </w:pPr>
    <w:rPr>
      <w:b/>
      <w:noProof/>
      <w:sz w:val="64"/>
      <w:szCs w:val="64"/>
    </w:rPr>
  </w:style>
  <w:style w:type="character" w:customStyle="1" w:styleId="TitleChar">
    <w:name w:val="Title Char"/>
    <w:basedOn w:val="DefaultParagraphFont"/>
    <w:link w:val="Title"/>
    <w:rsid w:val="0054138D"/>
    <w:rPr>
      <w:rFonts w:ascii="Arial" w:hAnsi="Arial" w:cs="Arial"/>
      <w:b/>
      <w:bCs/>
      <w:noProof/>
      <w:kern w:val="32"/>
      <w:sz w:val="64"/>
      <w:szCs w:val="64"/>
    </w:rPr>
  </w:style>
  <w:style w:type="character" w:customStyle="1" w:styleId="Heading4Char">
    <w:name w:val="Heading 4 Char"/>
    <w:aliases w:val="H4 Preamble headings Char"/>
    <w:basedOn w:val="DefaultParagraphFont"/>
    <w:link w:val="Heading4"/>
    <w:rsid w:val="0054138D"/>
    <w:rPr>
      <w:rFonts w:ascii="Arial" w:hAnsi="Arial"/>
      <w:b/>
      <w:sz w:val="22"/>
      <w:szCs w:val="24"/>
      <w:lang w:eastAsia="en-US"/>
    </w:rPr>
  </w:style>
  <w:style w:type="paragraph" w:customStyle="1" w:styleId="ScopeNote">
    <w:name w:val="Scope Note"/>
    <w:basedOn w:val="Tabletext"/>
    <w:link w:val="ScopeNoteChar"/>
    <w:qFormat/>
    <w:rsid w:val="0054138D"/>
    <w:pPr>
      <w:spacing w:before="60" w:after="60" w:line="240" w:lineRule="auto"/>
    </w:pPr>
    <w:rPr>
      <w:i/>
      <w:sz w:val="22"/>
      <w:szCs w:val="22"/>
    </w:rPr>
  </w:style>
  <w:style w:type="character" w:customStyle="1" w:styleId="ScopeNoteChar">
    <w:name w:val="Scope Note Char"/>
    <w:link w:val="ScopeNote"/>
    <w:rsid w:val="0054138D"/>
    <w:rPr>
      <w:rFonts w:ascii="Arial" w:hAnsi="Arial"/>
      <w: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5058117">
      <w:bodyDiv w:val="1"/>
      <w:marLeft w:val="0"/>
      <w:marRight w:val="0"/>
      <w:marTop w:val="0"/>
      <w:marBottom w:val="0"/>
      <w:divBdr>
        <w:top w:val="none" w:sz="0" w:space="0" w:color="auto"/>
        <w:left w:val="none" w:sz="0" w:space="0" w:color="auto"/>
        <w:bottom w:val="none" w:sz="0" w:space="0" w:color="auto"/>
        <w:right w:val="none" w:sz="0" w:space="0" w:color="auto"/>
      </w:divBdr>
    </w:div>
    <w:div w:id="1378698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qld.gov.au/gov/recordkeeping" TargetMode="Externa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s://www.qld.gov.au/gov/recordkeeping"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kqueries@archives.qld.gov.au" TargetMode="External"/><Relationship Id="rId5" Type="http://schemas.openxmlformats.org/officeDocument/2006/relationships/settings" Target="settings.xml"/><Relationship Id="rId15" Type="http://schemas.openxmlformats.org/officeDocument/2006/relationships/hyperlink" Target="https://www.qld.gov.au/gov/recordkeeping" TargetMode="External"/><Relationship Id="rId23" Type="http://schemas.openxmlformats.org/officeDocument/2006/relationships/theme" Target="theme/theme1.xml"/><Relationship Id="rId10" Type="http://schemas.openxmlformats.org/officeDocument/2006/relationships/hyperlink" Target="https://www.qld.gov.au/gov/search-retention-and-disposal-schedule"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https://www.qld.gov.au/gov/search-retention-and-disposal-schedule" TargetMode="External"/><Relationship Id="rId14" Type="http://schemas.openxmlformats.org/officeDocument/2006/relationships/hyperlink" Target="https://www.qld.gov.au/gov/recordkeeping" TargetMode="Externa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0839F2-2724-4D1D-90F3-3606A5B86DCE}">
  <ds:schemaRefs>
    <ds:schemaRef ds:uri="http://schemas.microsoft.com/office/2006/metadata/longProperties"/>
  </ds:schemaRefs>
</ds:datastoreItem>
</file>

<file path=customXml/itemProps2.xml><?xml version="1.0" encoding="utf-8"?>
<ds:datastoreItem xmlns:ds="http://schemas.openxmlformats.org/officeDocument/2006/customXml" ds:itemID="{F6BDEF21-5E9E-4E7C-A06D-EB8FA459E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1669</Words>
  <Characters>10668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Legal Services Commission retention and disposal schedule</vt:lpstr>
    </vt:vector>
  </TitlesOfParts>
  <Company/>
  <LinksUpToDate>false</LinksUpToDate>
  <CharactersWithSpaces>12313</CharactersWithSpaces>
  <SharedDoc>false</SharedDoc>
  <HLinks>
    <vt:vector size="42" baseType="variant">
      <vt:variant>
        <vt:i4>4980831</vt:i4>
      </vt:variant>
      <vt:variant>
        <vt:i4>21</vt:i4>
      </vt:variant>
      <vt:variant>
        <vt:i4>0</vt:i4>
      </vt:variant>
      <vt:variant>
        <vt:i4>5</vt:i4>
      </vt:variant>
      <vt:variant>
        <vt:lpwstr>https://www.qld.gov.au/gov/recordkeeping</vt:lpwstr>
      </vt:variant>
      <vt:variant>
        <vt:lpwstr/>
      </vt:variant>
      <vt:variant>
        <vt:i4>4980831</vt:i4>
      </vt:variant>
      <vt:variant>
        <vt:i4>18</vt:i4>
      </vt:variant>
      <vt:variant>
        <vt:i4>0</vt:i4>
      </vt:variant>
      <vt:variant>
        <vt:i4>5</vt:i4>
      </vt:variant>
      <vt:variant>
        <vt:lpwstr>https://www.qld.gov.au/gov/recordkeeping</vt:lpwstr>
      </vt:variant>
      <vt:variant>
        <vt:lpwstr/>
      </vt:variant>
      <vt:variant>
        <vt:i4>4980831</vt:i4>
      </vt:variant>
      <vt:variant>
        <vt:i4>15</vt:i4>
      </vt:variant>
      <vt:variant>
        <vt:i4>0</vt:i4>
      </vt:variant>
      <vt:variant>
        <vt:i4>5</vt:i4>
      </vt:variant>
      <vt:variant>
        <vt:lpwstr>https://www.qld.gov.au/gov/recordkeeping</vt:lpwstr>
      </vt:variant>
      <vt:variant>
        <vt:lpwstr/>
      </vt:variant>
      <vt:variant>
        <vt:i4>4980831</vt:i4>
      </vt:variant>
      <vt:variant>
        <vt:i4>12</vt:i4>
      </vt:variant>
      <vt:variant>
        <vt:i4>0</vt:i4>
      </vt:variant>
      <vt:variant>
        <vt:i4>5</vt:i4>
      </vt:variant>
      <vt:variant>
        <vt:lpwstr>https://www.qld.gov.au/gov/recordkeeping</vt:lpwstr>
      </vt:variant>
      <vt:variant>
        <vt:lpwstr/>
      </vt:variant>
      <vt:variant>
        <vt:i4>4718713</vt:i4>
      </vt:variant>
      <vt:variant>
        <vt:i4>9</vt:i4>
      </vt:variant>
      <vt:variant>
        <vt:i4>0</vt:i4>
      </vt:variant>
      <vt:variant>
        <vt:i4>5</vt:i4>
      </vt:variant>
      <vt:variant>
        <vt:lpwstr>mailto:rkqueries@archives.qld.gov.au</vt:lpwstr>
      </vt:variant>
      <vt:variant>
        <vt:lpwstr/>
      </vt:variant>
      <vt:variant>
        <vt:i4>1245208</vt:i4>
      </vt:variant>
      <vt:variant>
        <vt:i4>6</vt:i4>
      </vt:variant>
      <vt:variant>
        <vt:i4>0</vt:i4>
      </vt:variant>
      <vt:variant>
        <vt:i4>5</vt:i4>
      </vt:variant>
      <vt:variant>
        <vt:lpwstr>https://www.qld.gov.au/gov/search-retention-and-disposal-schedule</vt:lpwstr>
      </vt:variant>
      <vt:variant>
        <vt:lpwstr/>
      </vt:variant>
      <vt:variant>
        <vt:i4>1245208</vt:i4>
      </vt:variant>
      <vt:variant>
        <vt:i4>3</vt:i4>
      </vt:variant>
      <vt:variant>
        <vt:i4>0</vt:i4>
      </vt:variant>
      <vt:variant>
        <vt:i4>5</vt:i4>
      </vt:variant>
      <vt:variant>
        <vt:lpwstr>https://www.qld.gov.au/gov/search-retention-and-disposal-schedule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Legal Services Commission retention and disposal schedule</dc:title>
  <dc:subject/>
  <dc:creator/>
  <cp:keywords>Legal Services Commission, LSC, retention and disposal schedule, queensland state archives, qsa, disposal authorisation</cp:keywords>
  <dc:description>The Legal Services Commission retention and disposal schedule authorisies the disposal of core business records relating to complaints about lawyers, law practice employees and unlawful operators created by Legal Services Commission.</dc:description>
  <cp:lastModifiedBy/>
  <cp:revision>1</cp:revision>
  <dcterms:created xsi:type="dcterms:W3CDTF">2018-03-26T01:35:00Z</dcterms:created>
  <dcterms:modified xsi:type="dcterms:W3CDTF">2018-03-26T01:43:00Z</dcterms:modified>
</cp:coreProperties>
</file>