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0BDE" w14:textId="1A2A62B4" w:rsidR="00FD5B33" w:rsidRDefault="00775BF5" w:rsidP="00C54897">
      <w:pPr>
        <w:pStyle w:val="Title"/>
      </w:pPr>
      <w:r w:rsidRPr="00775BF5">
        <w:t>Handling Information</w:t>
      </w:r>
      <w:r w:rsidR="00E42F59">
        <w:t xml:space="preserve"> (Procurement</w:t>
      </w:r>
      <w:r w:rsidR="007E686E">
        <w:t xml:space="preserve"> and </w:t>
      </w:r>
      <w:r w:rsidR="00C53ACD">
        <w:t>D</w:t>
      </w:r>
      <w:r w:rsidR="007E686E">
        <w:t>elivery</w:t>
      </w:r>
      <w:r w:rsidR="00E42F59">
        <w:t>)</w:t>
      </w:r>
      <w:r w:rsidRPr="00775BF5">
        <w:t xml:space="preserve">: Supplier Guidelines </w:t>
      </w:r>
    </w:p>
    <w:p w14:paraId="55C66A30" w14:textId="417C9375" w:rsidR="0073107A" w:rsidRPr="0073107A" w:rsidRDefault="0073107A" w:rsidP="00685F4D">
      <w:pPr>
        <w:pStyle w:val="Heading3"/>
      </w:pPr>
      <w:r w:rsidRPr="00025B94">
        <w:rPr>
          <w:rFonts w:cs="Times New Roman"/>
          <w:bCs w:val="0"/>
          <w:sz w:val="22"/>
          <w:szCs w:val="24"/>
        </w:rPr>
        <w:t xml:space="preserve">It is recommended these guidelines be read in association with the </w:t>
      </w:r>
      <w:hyperlink r:id="rId11" w:history="1">
        <w:r w:rsidRPr="004E46DE">
          <w:rPr>
            <w:rStyle w:val="Hyperlink"/>
            <w:b/>
            <w:sz w:val="22"/>
            <w:szCs w:val="22"/>
          </w:rPr>
          <w:t>Procurement Assurance Model Framework</w:t>
        </w:r>
      </w:hyperlink>
      <w:r>
        <w:rPr>
          <w:bCs w:val="0"/>
          <w:sz w:val="22"/>
          <w:szCs w:val="22"/>
        </w:rPr>
        <w:t xml:space="preserve"> </w:t>
      </w:r>
      <w:r w:rsidRPr="00025B94">
        <w:rPr>
          <w:rFonts w:cs="Times New Roman"/>
          <w:bCs w:val="0"/>
          <w:sz w:val="22"/>
          <w:szCs w:val="24"/>
        </w:rPr>
        <w:t>for further clarification on terms and definitions.</w:t>
      </w:r>
    </w:p>
    <w:p w14:paraId="0D67140D" w14:textId="04C89E7E" w:rsidR="00775BF5" w:rsidRPr="00161B6B" w:rsidRDefault="00775BF5" w:rsidP="009714E7">
      <w:pPr>
        <w:pStyle w:val="Heading1"/>
        <w:numPr>
          <w:ilvl w:val="0"/>
          <w:numId w:val="29"/>
        </w:numPr>
        <w:ind w:left="0" w:firstLine="0"/>
        <w:rPr>
          <w:rFonts w:eastAsiaTheme="minorEastAsia"/>
          <w:bCs/>
          <w:szCs w:val="36"/>
          <w:lang w:val="en-AU"/>
        </w:rPr>
      </w:pPr>
      <w:r w:rsidRPr="00161B6B">
        <w:rPr>
          <w:rFonts w:eastAsiaTheme="minorEastAsia"/>
          <w:bCs/>
          <w:szCs w:val="36"/>
          <w:lang w:val="en-AU"/>
        </w:rPr>
        <w:t>Introduction</w:t>
      </w:r>
    </w:p>
    <w:p w14:paraId="3B4A51C1" w14:textId="7212A723" w:rsidR="00E24A7A" w:rsidRDefault="00775BF5" w:rsidP="00775BF5">
      <w:r>
        <w:t xml:space="preserve">This guideline </w:t>
      </w:r>
      <w:r w:rsidR="00A35F99">
        <w:t>is designed to help suppliers better understand</w:t>
      </w:r>
      <w:r>
        <w:t xml:space="preserve"> the</w:t>
      </w:r>
      <w:r w:rsidR="00E13B34">
        <w:t>ir</w:t>
      </w:r>
      <w:r>
        <w:t xml:space="preserve"> </w:t>
      </w:r>
      <w:r w:rsidR="007E686E">
        <w:t>responsibilities</w:t>
      </w:r>
      <w:r>
        <w:t xml:space="preserve"> </w:t>
      </w:r>
      <w:r w:rsidR="00711576" w:rsidRPr="00711576">
        <w:t xml:space="preserve">regarding handling information </w:t>
      </w:r>
      <w:r>
        <w:t xml:space="preserve">outlined in Section 2.3 of the </w:t>
      </w:r>
      <w:hyperlink r:id="rId12">
        <w:r w:rsidRPr="01276C34">
          <w:rPr>
            <w:rStyle w:val="Hyperlink"/>
          </w:rPr>
          <w:t>Queensland Government Supplier Code of Conduct (the Code)</w:t>
        </w:r>
      </w:hyperlink>
      <w:r>
        <w:t xml:space="preserve"> . </w:t>
      </w:r>
      <w:r w:rsidR="00E2729F">
        <w:t xml:space="preserve">By adhering to these principles, suppliers can better protect information, uphold the integrity of the procurement </w:t>
      </w:r>
      <w:r w:rsidR="00455296">
        <w:t xml:space="preserve">and delivery </w:t>
      </w:r>
      <w:r w:rsidR="00E2729F">
        <w:t>process</w:t>
      </w:r>
      <w:r w:rsidR="00455296">
        <w:t>es</w:t>
      </w:r>
      <w:r w:rsidR="00FC4E20">
        <w:t xml:space="preserve"> and </w:t>
      </w:r>
      <w:r w:rsidR="00711576">
        <w:t>ensure</w:t>
      </w:r>
      <w:r w:rsidR="00FC4E20">
        <w:t xml:space="preserve"> the continuity of </w:t>
      </w:r>
      <w:r w:rsidR="00711576">
        <w:t>services.</w:t>
      </w:r>
    </w:p>
    <w:p w14:paraId="66185BB5" w14:textId="4BF8E37F" w:rsidR="00625597" w:rsidRDefault="00E46D0C" w:rsidP="00775BF5">
      <w:r w:rsidRPr="00E46D0C">
        <w:t>For the purposes of this guideline</w:t>
      </w:r>
      <w:r w:rsidR="00625597" w:rsidRPr="00625597">
        <w:t xml:space="preserve">, “information” refers to any data or information related to your contract with the Queensland Government, as well as information that you are required to keep, use, or supply during the procurement </w:t>
      </w:r>
      <w:r w:rsidR="00455296">
        <w:t xml:space="preserve">and delivery </w:t>
      </w:r>
      <w:r w:rsidR="00625597" w:rsidRPr="00625597">
        <w:t>process</w:t>
      </w:r>
      <w:r w:rsidR="00455296">
        <w:t>es</w:t>
      </w:r>
      <w:r w:rsidR="00625597" w:rsidRPr="00625597">
        <w:t xml:space="preserve">. </w:t>
      </w:r>
    </w:p>
    <w:p w14:paraId="32B1FD7E" w14:textId="578DA64A" w:rsidR="00775BF5" w:rsidRPr="00161B6B" w:rsidRDefault="00775BF5" w:rsidP="0009776A">
      <w:pPr>
        <w:pStyle w:val="Heading3"/>
        <w:numPr>
          <w:ilvl w:val="0"/>
          <w:numId w:val="29"/>
        </w:numPr>
        <w:spacing w:before="0"/>
        <w:rPr>
          <w:rFonts w:eastAsiaTheme="minorEastAsia"/>
          <w:b/>
          <w:color w:val="00376E"/>
          <w:sz w:val="36"/>
          <w:szCs w:val="36"/>
        </w:rPr>
      </w:pPr>
      <w:r w:rsidRPr="00161B6B">
        <w:rPr>
          <w:rFonts w:eastAsiaTheme="minorEastAsia"/>
          <w:b/>
          <w:color w:val="00376E"/>
          <w:sz w:val="36"/>
          <w:szCs w:val="36"/>
        </w:rPr>
        <w:t xml:space="preserve">Key </w:t>
      </w:r>
      <w:r w:rsidR="00A055F6" w:rsidRPr="00161B6B">
        <w:rPr>
          <w:rFonts w:eastAsiaTheme="minorEastAsia"/>
          <w:b/>
          <w:color w:val="00376E"/>
          <w:sz w:val="36"/>
          <w:szCs w:val="36"/>
        </w:rPr>
        <w:t>p</w:t>
      </w:r>
      <w:r w:rsidRPr="00161B6B">
        <w:rPr>
          <w:rFonts w:eastAsiaTheme="minorEastAsia"/>
          <w:b/>
          <w:color w:val="00376E"/>
          <w:sz w:val="36"/>
          <w:szCs w:val="36"/>
        </w:rPr>
        <w:t xml:space="preserve">rinciples for </w:t>
      </w:r>
      <w:r w:rsidR="00A055F6" w:rsidRPr="00161B6B">
        <w:rPr>
          <w:rFonts w:eastAsiaTheme="minorEastAsia"/>
          <w:b/>
          <w:color w:val="00376E"/>
          <w:sz w:val="36"/>
          <w:szCs w:val="36"/>
        </w:rPr>
        <w:t>h</w:t>
      </w:r>
      <w:r w:rsidRPr="00161B6B">
        <w:rPr>
          <w:rFonts w:eastAsiaTheme="minorEastAsia"/>
          <w:b/>
          <w:color w:val="00376E"/>
          <w:sz w:val="36"/>
          <w:szCs w:val="36"/>
        </w:rPr>
        <w:t xml:space="preserve">andling </w:t>
      </w:r>
      <w:r w:rsidR="00A055F6" w:rsidRPr="00161B6B">
        <w:rPr>
          <w:rFonts w:eastAsiaTheme="minorEastAsia"/>
          <w:b/>
          <w:color w:val="00376E"/>
          <w:sz w:val="36"/>
          <w:szCs w:val="36"/>
        </w:rPr>
        <w:t>i</w:t>
      </w:r>
      <w:r w:rsidRPr="00161B6B">
        <w:rPr>
          <w:rFonts w:eastAsiaTheme="minorEastAsia"/>
          <w:b/>
          <w:color w:val="00376E"/>
          <w:sz w:val="36"/>
          <w:szCs w:val="36"/>
        </w:rPr>
        <w:t>nformation</w:t>
      </w:r>
    </w:p>
    <w:p w14:paraId="7156AC41" w14:textId="45F8D80E" w:rsidR="00775BF5" w:rsidRPr="009714E7" w:rsidRDefault="00775BF5" w:rsidP="009714E7">
      <w:pPr>
        <w:pStyle w:val="Heading2"/>
        <w:numPr>
          <w:ilvl w:val="1"/>
          <w:numId w:val="29"/>
        </w:numPr>
        <w:ind w:left="0" w:firstLine="0"/>
        <w:rPr>
          <w:rFonts w:eastAsiaTheme="minorEastAsia"/>
        </w:rPr>
      </w:pPr>
      <w:r w:rsidRPr="009714E7">
        <w:rPr>
          <w:rFonts w:eastAsiaTheme="minorEastAsia"/>
        </w:rPr>
        <w:t> Confidentiality</w:t>
      </w:r>
    </w:p>
    <w:p w14:paraId="1C94E5FE" w14:textId="49B4AA36" w:rsidR="00775BF5" w:rsidRPr="00775BF5" w:rsidRDefault="00775BF5" w:rsidP="00432E2B">
      <w:r w:rsidRPr="00775BF5">
        <w:t>Protect sensitive information from unauthorised access or disclosure</w:t>
      </w:r>
      <w:r w:rsidR="00F715B5">
        <w:t>:</w:t>
      </w:r>
      <w:r w:rsidR="0042531B">
        <w:rPr>
          <w:b/>
          <w:bCs/>
        </w:rPr>
        <w:t xml:space="preserve"> </w:t>
      </w:r>
    </w:p>
    <w:p w14:paraId="17480F5A" w14:textId="77777777" w:rsidR="00775BF5" w:rsidRPr="00775BF5" w:rsidRDefault="00775BF5" w:rsidP="00432E2B">
      <w:pPr>
        <w:numPr>
          <w:ilvl w:val="0"/>
          <w:numId w:val="20"/>
        </w:numPr>
      </w:pPr>
      <w:r w:rsidRPr="00775BF5">
        <w:t>Implement access controls to ensure only authorised personnel can access sensitive information.</w:t>
      </w:r>
    </w:p>
    <w:p w14:paraId="4281AD83" w14:textId="77777777" w:rsidR="00775BF5" w:rsidRPr="00775BF5" w:rsidRDefault="00775BF5" w:rsidP="00432E2B">
      <w:pPr>
        <w:numPr>
          <w:ilvl w:val="0"/>
          <w:numId w:val="20"/>
        </w:numPr>
      </w:pPr>
      <w:r w:rsidRPr="00775BF5">
        <w:t>Use secure methods (e.g., encryption) to store and transmit sensitive data.</w:t>
      </w:r>
    </w:p>
    <w:p w14:paraId="03EA4ED0" w14:textId="77777777" w:rsidR="00775BF5" w:rsidRPr="00775BF5" w:rsidRDefault="00775BF5" w:rsidP="00432E2B">
      <w:pPr>
        <w:numPr>
          <w:ilvl w:val="0"/>
          <w:numId w:val="20"/>
        </w:numPr>
      </w:pPr>
      <w:r w:rsidRPr="00775BF5">
        <w:t>Regularly review access permissions and revoke access when no longer required.</w:t>
      </w:r>
    </w:p>
    <w:p w14:paraId="4EDE3B55" w14:textId="5B85FCFC" w:rsidR="00775BF5" w:rsidRPr="00775BF5" w:rsidRDefault="00775BF5" w:rsidP="00432E2B">
      <w:pPr>
        <w:numPr>
          <w:ilvl w:val="0"/>
          <w:numId w:val="20"/>
        </w:numPr>
      </w:pPr>
      <w:r w:rsidRPr="00775BF5">
        <w:t>Ensure all employees and subcontractors understand their obligations to maintain confidentiality.</w:t>
      </w:r>
    </w:p>
    <w:p w14:paraId="3E970771" w14:textId="091E02BD" w:rsidR="00775BF5" w:rsidRPr="009714E7" w:rsidRDefault="00A05AC8" w:rsidP="0009776A">
      <w:pPr>
        <w:pStyle w:val="ListParagraph"/>
        <w:numPr>
          <w:ilvl w:val="1"/>
          <w:numId w:val="29"/>
        </w:numPr>
        <w:ind w:left="720"/>
        <w:rPr>
          <w:rFonts w:eastAsiaTheme="minorEastAsia" w:cs="Arial"/>
          <w:b/>
          <w:bCs/>
          <w:sz w:val="32"/>
          <w:szCs w:val="40"/>
          <w:lang w:eastAsia="en-US"/>
        </w:rPr>
      </w:pPr>
      <w:r w:rsidRPr="009714E7">
        <w:rPr>
          <w:rFonts w:eastAsiaTheme="minorEastAsia" w:cs="Arial"/>
          <w:b/>
          <w:bCs/>
          <w:sz w:val="32"/>
          <w:szCs w:val="40"/>
          <w:lang w:eastAsia="en-US"/>
        </w:rPr>
        <w:t xml:space="preserve"> </w:t>
      </w:r>
      <w:r w:rsidR="00775BF5" w:rsidRPr="009714E7">
        <w:rPr>
          <w:rFonts w:eastAsiaTheme="minorEastAsia" w:cs="Arial"/>
          <w:b/>
          <w:bCs/>
          <w:sz w:val="32"/>
          <w:szCs w:val="40"/>
          <w:lang w:eastAsia="en-US"/>
        </w:rPr>
        <w:t>Integrity</w:t>
      </w:r>
    </w:p>
    <w:p w14:paraId="3E3C65D4" w14:textId="7FA47176" w:rsidR="00775BF5" w:rsidRPr="00775BF5" w:rsidRDefault="00775BF5" w:rsidP="00432E2B">
      <w:r w:rsidRPr="00775BF5">
        <w:t>Ensure information is accurate, complete and protected from unauthorised modification</w:t>
      </w:r>
      <w:r w:rsidR="00F715B5">
        <w:t>:</w:t>
      </w:r>
      <w:r w:rsidR="0042531B">
        <w:rPr>
          <w:b/>
          <w:bCs/>
        </w:rPr>
        <w:t xml:space="preserve"> </w:t>
      </w:r>
    </w:p>
    <w:p w14:paraId="2E1B4CDC" w14:textId="77777777" w:rsidR="00775BF5" w:rsidRPr="00775BF5" w:rsidRDefault="00775BF5" w:rsidP="00432E2B">
      <w:pPr>
        <w:numPr>
          <w:ilvl w:val="0"/>
          <w:numId w:val="21"/>
        </w:numPr>
      </w:pPr>
      <w:r w:rsidRPr="00775BF5">
        <w:t>Use secure systems and processes to prevent unauthorised changes to data.</w:t>
      </w:r>
    </w:p>
    <w:p w14:paraId="68605B67" w14:textId="77777777" w:rsidR="00775BF5" w:rsidRPr="00775BF5" w:rsidRDefault="00775BF5" w:rsidP="00432E2B">
      <w:pPr>
        <w:numPr>
          <w:ilvl w:val="0"/>
          <w:numId w:val="21"/>
        </w:numPr>
      </w:pPr>
      <w:r w:rsidRPr="00775BF5">
        <w:t>Regularly audit and verify the accuracy of information.</w:t>
      </w:r>
    </w:p>
    <w:p w14:paraId="24AD5AC5" w14:textId="67C712CA" w:rsidR="00AA7BDF" w:rsidRPr="00775BF5" w:rsidRDefault="00775BF5" w:rsidP="00432E2B">
      <w:pPr>
        <w:numPr>
          <w:ilvl w:val="0"/>
          <w:numId w:val="21"/>
        </w:numPr>
      </w:pPr>
      <w:r w:rsidRPr="00775BF5">
        <w:t>Implement version control and backup systems to maintain data integrity.</w:t>
      </w:r>
    </w:p>
    <w:p w14:paraId="297FF6BC" w14:textId="5FD838AB" w:rsidR="00775BF5" w:rsidRPr="009714E7" w:rsidRDefault="00775BF5" w:rsidP="0009776A">
      <w:pPr>
        <w:pStyle w:val="ListParagraph"/>
        <w:numPr>
          <w:ilvl w:val="1"/>
          <w:numId w:val="29"/>
        </w:numPr>
        <w:ind w:left="720"/>
        <w:rPr>
          <w:rFonts w:eastAsiaTheme="minorEastAsia" w:cs="Arial"/>
          <w:b/>
          <w:bCs/>
          <w:sz w:val="32"/>
          <w:szCs w:val="40"/>
          <w:lang w:eastAsia="en-US"/>
        </w:rPr>
      </w:pPr>
      <w:r w:rsidRPr="009714E7">
        <w:rPr>
          <w:rFonts w:eastAsiaTheme="minorEastAsia" w:cs="Arial"/>
          <w:b/>
          <w:bCs/>
          <w:sz w:val="32"/>
          <w:szCs w:val="40"/>
          <w:lang w:eastAsia="en-US"/>
        </w:rPr>
        <w:t>Availability</w:t>
      </w:r>
    </w:p>
    <w:p w14:paraId="22E8BE75" w14:textId="0865D764" w:rsidR="00775BF5" w:rsidRPr="00775BF5" w:rsidRDefault="00775BF5" w:rsidP="00432E2B">
      <w:r w:rsidRPr="00775BF5">
        <w:t>Ensure information and systems are accessible to authorised users when needed</w:t>
      </w:r>
      <w:r w:rsidR="00F715B5">
        <w:t>:</w:t>
      </w:r>
      <w:r w:rsidR="0042531B">
        <w:rPr>
          <w:b/>
          <w:bCs/>
        </w:rPr>
        <w:t xml:space="preserve"> </w:t>
      </w:r>
    </w:p>
    <w:p w14:paraId="55DF4A72" w14:textId="77777777" w:rsidR="00775BF5" w:rsidRPr="00775BF5" w:rsidRDefault="00775BF5" w:rsidP="00432E2B">
      <w:pPr>
        <w:numPr>
          <w:ilvl w:val="0"/>
          <w:numId w:val="22"/>
        </w:numPr>
      </w:pPr>
      <w:r w:rsidRPr="00775BF5">
        <w:t>Develop and maintain business continuity and disaster recovery plans.</w:t>
      </w:r>
    </w:p>
    <w:p w14:paraId="7237DD3D" w14:textId="77777777" w:rsidR="00775BF5" w:rsidRPr="00775BF5" w:rsidRDefault="00775BF5" w:rsidP="00432E2B">
      <w:pPr>
        <w:numPr>
          <w:ilvl w:val="0"/>
          <w:numId w:val="22"/>
        </w:numPr>
      </w:pPr>
      <w:r w:rsidRPr="00775BF5">
        <w:t>Regularly test systems to ensure they can withstand disruptions.</w:t>
      </w:r>
    </w:p>
    <w:p w14:paraId="4109FA0E" w14:textId="4DB1C448" w:rsidR="00012E45" w:rsidRPr="00775BF5" w:rsidRDefault="00775BF5" w:rsidP="00432E2B">
      <w:pPr>
        <w:numPr>
          <w:ilvl w:val="0"/>
          <w:numId w:val="22"/>
        </w:numPr>
      </w:pPr>
      <w:r w:rsidRPr="00775BF5">
        <w:t>Monitor systems to detect and address potential issues before they impact service delivery.</w:t>
      </w:r>
    </w:p>
    <w:p w14:paraId="0DA4DFD0" w14:textId="77777777" w:rsidR="001512DA" w:rsidRPr="00775BF5" w:rsidRDefault="001512DA" w:rsidP="0009776A"/>
    <w:p w14:paraId="36D7B12E" w14:textId="54BCF4E6" w:rsidR="009F0DD9" w:rsidRPr="00B55032" w:rsidRDefault="006B6A14" w:rsidP="00432E2B">
      <w:pPr>
        <w:rPr>
          <w:lang w:val="en-US"/>
        </w:rPr>
      </w:pPr>
      <w:r w:rsidRPr="006B6A14">
        <w:t>While th</w:t>
      </w:r>
      <w:r w:rsidR="002E16C9">
        <w:t>is</w:t>
      </w:r>
      <w:r w:rsidRPr="006B6A14">
        <w:t xml:space="preserve"> guideline provide</w:t>
      </w:r>
      <w:r w:rsidR="002E16C9">
        <w:t>s</w:t>
      </w:r>
      <w:r w:rsidRPr="006B6A14">
        <w:t> overarching information</w:t>
      </w:r>
      <w:r w:rsidR="008818B5">
        <w:t>,</w:t>
      </w:r>
      <w:r w:rsidR="00281304">
        <w:t xml:space="preserve"> </w:t>
      </w:r>
      <w:r w:rsidR="002E16C9">
        <w:t>i</w:t>
      </w:r>
      <w:r w:rsidR="002F65CA" w:rsidRPr="000E7CFC">
        <w:t xml:space="preserve">ndividual Queensland Government agencies may have their own specific procedures and requirements for handling information. </w:t>
      </w:r>
      <w:r w:rsidR="00F24E88" w:rsidRPr="00F24E88">
        <w:t>Suppliers are encouraged to familiarise themselves</w:t>
      </w:r>
      <w:r w:rsidR="00F24E88" w:rsidRPr="00F24E88" w:rsidDel="00F24E88">
        <w:t xml:space="preserve"> </w:t>
      </w:r>
      <w:r w:rsidR="002F65CA" w:rsidRPr="000E7CFC">
        <w:t>with</w:t>
      </w:r>
      <w:r w:rsidR="00F711D8">
        <w:t xml:space="preserve">, </w:t>
      </w:r>
      <w:r w:rsidR="002F65CA" w:rsidRPr="000E7CFC">
        <w:t xml:space="preserve">and adhere </w:t>
      </w:r>
      <w:r w:rsidR="00D678D1">
        <w:t>to</w:t>
      </w:r>
      <w:r w:rsidR="00F711D8">
        <w:t>,</w:t>
      </w:r>
      <w:r w:rsidR="00D678D1">
        <w:t xml:space="preserve"> the contracted </w:t>
      </w:r>
      <w:r w:rsidR="002F65CA" w:rsidRPr="000E7CFC">
        <w:t>agency’s procedures</w:t>
      </w:r>
      <w:r w:rsidR="00D678D1">
        <w:t xml:space="preserve"> and </w:t>
      </w:r>
      <w:r w:rsidR="00F711D8">
        <w:t xml:space="preserve">overarching </w:t>
      </w:r>
      <w:r w:rsidR="00D678D1">
        <w:t>Queensland Government policies. Additionally, s</w:t>
      </w:r>
      <w:r w:rsidR="00D678D1" w:rsidRPr="00A05AC8">
        <w:t xml:space="preserve">uppliers are strongly encouraged to </w:t>
      </w:r>
      <w:r w:rsidR="009708C3">
        <w:t xml:space="preserve">be aware of and to consider </w:t>
      </w:r>
      <w:r w:rsidR="00D678D1" w:rsidRPr="00A05AC8">
        <w:t>align</w:t>
      </w:r>
      <w:r w:rsidR="009708C3">
        <w:t>ing</w:t>
      </w:r>
      <w:r w:rsidR="00D678D1" w:rsidRPr="00A05AC8">
        <w:t xml:space="preserve"> their practices with the </w:t>
      </w:r>
      <w:hyperlink r:id="rId13" w:history="1">
        <w:r w:rsidR="00D678D1" w:rsidRPr="0009776A">
          <w:rPr>
            <w:rStyle w:val="Hyperlink"/>
          </w:rPr>
          <w:t>ISO 27001 standards</w:t>
        </w:r>
      </w:hyperlink>
      <w:r w:rsidR="00D678D1" w:rsidRPr="0009776A">
        <w:t xml:space="preserve"> for information security</w:t>
      </w:r>
      <w:r w:rsidR="00EA4620">
        <w:t xml:space="preserve"> management</w:t>
      </w:r>
      <w:r w:rsidR="00D678D1" w:rsidRPr="00F711D8">
        <w:t>.</w:t>
      </w:r>
      <w:r w:rsidR="00D678D1" w:rsidRPr="00A05AC8">
        <w:t xml:space="preserve"> </w:t>
      </w:r>
    </w:p>
    <w:sectPr w:rsidR="009F0DD9" w:rsidRPr="00B55032" w:rsidSect="0048488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709" w:bottom="1134" w:left="709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9B6C" w14:textId="77777777" w:rsidR="002B4211" w:rsidRDefault="002B4211" w:rsidP="00190C24">
      <w:r>
        <w:separator/>
      </w:r>
    </w:p>
  </w:endnote>
  <w:endnote w:type="continuationSeparator" w:id="0">
    <w:p w14:paraId="00E61368" w14:textId="77777777" w:rsidR="002B4211" w:rsidRDefault="002B4211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FC90" w14:textId="6A9AEEEC" w:rsidR="00C54897" w:rsidRPr="00FD5B33" w:rsidRDefault="00C54897" w:rsidP="000159B9">
    <w:pPr>
      <w:pBdr>
        <w:top w:val="single" w:sz="8" w:space="1" w:color="auto"/>
      </w:pBdr>
      <w:tabs>
        <w:tab w:val="center" w:pos="4513"/>
        <w:tab w:val="right" w:pos="10488"/>
      </w:tabs>
      <w:spacing w:before="360" w:after="0"/>
      <w:contextualSpacing/>
      <w:rPr>
        <w:rFonts w:eastAsia="Calibri"/>
        <w:noProof/>
        <w:color w:val="404040"/>
        <w:sz w:val="16"/>
        <w:szCs w:val="22"/>
      </w:rPr>
    </w:pPr>
    <w:r w:rsidRPr="003F5945">
      <w:rPr>
        <w:rFonts w:eastAsia="Calibri"/>
        <w:noProof/>
        <w:color w:val="404040"/>
        <w:sz w:val="16"/>
        <w:szCs w:val="22"/>
      </w:rPr>
      <w:tab/>
    </w:r>
    <w:r w:rsidRPr="003F5945">
      <w:rPr>
        <w:rFonts w:eastAsia="Calibri"/>
        <w:noProof/>
        <w:color w:val="404040"/>
        <w:sz w:val="16"/>
        <w:szCs w:val="22"/>
      </w:rPr>
      <w:tab/>
    </w:r>
    <w:r w:rsidRPr="003F5945">
      <w:rPr>
        <w:rFonts w:eastAsia="Calibri"/>
        <w:noProof/>
        <w:color w:val="404040"/>
        <w:sz w:val="16"/>
        <w:szCs w:val="22"/>
      </w:rPr>
      <w:fldChar w:fldCharType="begin"/>
    </w:r>
    <w:r w:rsidRPr="003F5945">
      <w:rPr>
        <w:rFonts w:eastAsia="Calibri"/>
        <w:noProof/>
        <w:color w:val="404040"/>
        <w:sz w:val="16"/>
        <w:szCs w:val="22"/>
      </w:rPr>
      <w:instrText xml:space="preserve"> PAGE   \* MERGEFORMAT </w:instrText>
    </w:r>
    <w:r w:rsidRPr="003F5945">
      <w:rPr>
        <w:rFonts w:eastAsia="Calibri"/>
        <w:noProof/>
        <w:color w:val="404040"/>
        <w:sz w:val="16"/>
        <w:szCs w:val="22"/>
      </w:rPr>
      <w:fldChar w:fldCharType="separate"/>
    </w:r>
    <w:r>
      <w:rPr>
        <w:rFonts w:eastAsia="Calibri"/>
        <w:noProof/>
        <w:color w:val="404040"/>
        <w:sz w:val="16"/>
        <w:szCs w:val="22"/>
      </w:rPr>
      <w:t>2</w:t>
    </w:r>
    <w:r w:rsidRPr="003F5945">
      <w:rPr>
        <w:rFonts w:eastAsia="Calibri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2AD9" w14:textId="6785EF85" w:rsidR="00484888" w:rsidRDefault="009D625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C92845" wp14:editId="1F9D1045">
          <wp:simplePos x="0" y="0"/>
          <wp:positionH relativeFrom="margin">
            <wp:posOffset>-441325</wp:posOffset>
          </wp:positionH>
          <wp:positionV relativeFrom="paragraph">
            <wp:posOffset>89535</wp:posOffset>
          </wp:positionV>
          <wp:extent cx="7573010" cy="8953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E9249" w14:textId="77777777" w:rsidR="00484888" w:rsidRDefault="00484888">
    <w:pPr>
      <w:pStyle w:val="Footer"/>
    </w:pPr>
  </w:p>
  <w:p w14:paraId="590ED0FC" w14:textId="77777777" w:rsidR="00484888" w:rsidRDefault="00484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3DC0" w14:textId="77777777" w:rsidR="002B4211" w:rsidRDefault="002B4211" w:rsidP="00190C24">
      <w:r>
        <w:separator/>
      </w:r>
    </w:p>
  </w:footnote>
  <w:footnote w:type="continuationSeparator" w:id="0">
    <w:p w14:paraId="6F944829" w14:textId="77777777" w:rsidR="002B4211" w:rsidRDefault="002B4211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9241" w14:textId="2B8A0AD1" w:rsidR="00C54897" w:rsidRPr="00555C3B" w:rsidRDefault="0080316C" w:rsidP="00555C3B">
    <w:pPr>
      <w:pStyle w:val="Header"/>
      <w:jc w:val="right"/>
      <w:rPr>
        <w:lang w:val="en-US"/>
      </w:rPr>
    </w:pPr>
    <w:r w:rsidRPr="0080316C">
      <w:rPr>
        <w:sz w:val="18"/>
        <w:szCs w:val="18"/>
      </w:rPr>
      <w:t xml:space="preserve">Handling Information: Supplier Guidelines for Queensland Government Contracts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94C8" w14:textId="2341C1DD" w:rsidR="00484888" w:rsidRPr="00012E45" w:rsidRDefault="00484888" w:rsidP="00012E45">
    <w:pPr>
      <w:pStyle w:val="Header"/>
      <w:pBdr>
        <w:bottom w:val="single" w:sz="8" w:space="8" w:color="005EB8"/>
      </w:pBdr>
      <w:spacing w:after="360"/>
      <w:contextualSpacing/>
      <w:jc w:val="right"/>
      <w:rPr>
        <w:color w:val="005EB8"/>
        <w:sz w:val="18"/>
        <w:szCs w:val="18"/>
      </w:rPr>
    </w:pPr>
    <w:r w:rsidRPr="00012E45">
      <w:rPr>
        <w:color w:val="005EB8"/>
        <w:sz w:val="18"/>
        <w:szCs w:val="18"/>
      </w:rPr>
      <w:t>Queensland Government</w:t>
    </w:r>
    <w:r w:rsidR="0080316C">
      <w:rPr>
        <w:color w:val="005EB8"/>
        <w:sz w:val="18"/>
        <w:szCs w:val="18"/>
      </w:rPr>
      <w:t xml:space="preserve"> Procurement Assurance Branch</w:t>
    </w:r>
  </w:p>
  <w:p w14:paraId="0160AB7B" w14:textId="77777777" w:rsidR="00484888" w:rsidRPr="00012E45" w:rsidRDefault="00484888">
    <w:pPr>
      <w:pStyle w:val="Header"/>
      <w:rPr>
        <w:color w:val="005EB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278C4"/>
    <w:multiLevelType w:val="multilevel"/>
    <w:tmpl w:val="A6A8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C046A"/>
    <w:multiLevelType w:val="multilevel"/>
    <w:tmpl w:val="E95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00210"/>
    <w:multiLevelType w:val="multilevel"/>
    <w:tmpl w:val="B01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726EE"/>
    <w:multiLevelType w:val="multilevel"/>
    <w:tmpl w:val="627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3925AF"/>
    <w:multiLevelType w:val="multilevel"/>
    <w:tmpl w:val="B96C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168CA"/>
    <w:multiLevelType w:val="multilevel"/>
    <w:tmpl w:val="A6E6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BA08BC"/>
    <w:multiLevelType w:val="multilevel"/>
    <w:tmpl w:val="AEC2F6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A0BFD"/>
    <w:multiLevelType w:val="multilevel"/>
    <w:tmpl w:val="229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822704"/>
    <w:multiLevelType w:val="multilevel"/>
    <w:tmpl w:val="10F4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761002"/>
    <w:multiLevelType w:val="multilevel"/>
    <w:tmpl w:val="B2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CC3D88"/>
    <w:multiLevelType w:val="multilevel"/>
    <w:tmpl w:val="4A2CED42"/>
    <w:lvl w:ilvl="0">
      <w:start w:val="1"/>
      <w:numFmt w:val="bullet"/>
      <w:pStyle w:val="ListParagraph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7" w:hanging="22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50928CE"/>
    <w:multiLevelType w:val="hybridMultilevel"/>
    <w:tmpl w:val="039CF004"/>
    <w:lvl w:ilvl="0" w:tplc="EF1A7C7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F329FF"/>
    <w:multiLevelType w:val="multilevel"/>
    <w:tmpl w:val="D020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E35E85"/>
    <w:multiLevelType w:val="multilevel"/>
    <w:tmpl w:val="C39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DA4BFE"/>
    <w:multiLevelType w:val="multilevel"/>
    <w:tmpl w:val="13E8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C7500C"/>
    <w:multiLevelType w:val="multilevel"/>
    <w:tmpl w:val="549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E435A0"/>
    <w:multiLevelType w:val="multilevel"/>
    <w:tmpl w:val="1766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A97AB4"/>
    <w:multiLevelType w:val="multilevel"/>
    <w:tmpl w:val="2CDA1A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1A4ADE"/>
    <w:multiLevelType w:val="multilevel"/>
    <w:tmpl w:val="D6B8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3D1354"/>
    <w:multiLevelType w:val="multilevel"/>
    <w:tmpl w:val="7AAC9A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453B8C"/>
    <w:multiLevelType w:val="multilevel"/>
    <w:tmpl w:val="388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D56733"/>
    <w:multiLevelType w:val="multilevel"/>
    <w:tmpl w:val="68644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-17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27" w:hanging="1800"/>
      </w:pPr>
      <w:rPr>
        <w:rFonts w:hint="default"/>
      </w:rPr>
    </w:lvl>
  </w:abstractNum>
  <w:abstractNum w:abstractNumId="25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C56FED"/>
    <w:multiLevelType w:val="multilevel"/>
    <w:tmpl w:val="6AA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3F1B70"/>
    <w:multiLevelType w:val="hybridMultilevel"/>
    <w:tmpl w:val="8160B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05461">
    <w:abstractNumId w:val="1"/>
  </w:num>
  <w:num w:numId="2" w16cid:durableId="1187906338">
    <w:abstractNumId w:val="14"/>
  </w:num>
  <w:num w:numId="3" w16cid:durableId="1469398297">
    <w:abstractNumId w:val="12"/>
  </w:num>
  <w:num w:numId="4" w16cid:durableId="737165391">
    <w:abstractNumId w:val="0"/>
  </w:num>
  <w:num w:numId="5" w16cid:durableId="1357656536">
    <w:abstractNumId w:val="25"/>
  </w:num>
  <w:num w:numId="6" w16cid:durableId="1632244788">
    <w:abstractNumId w:val="27"/>
  </w:num>
  <w:num w:numId="7" w16cid:durableId="1228221821">
    <w:abstractNumId w:val="13"/>
  </w:num>
  <w:num w:numId="8" w16cid:durableId="1667127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24413">
    <w:abstractNumId w:val="4"/>
  </w:num>
  <w:num w:numId="10" w16cid:durableId="1707558098">
    <w:abstractNumId w:val="11"/>
  </w:num>
  <w:num w:numId="11" w16cid:durableId="1894458986">
    <w:abstractNumId w:val="5"/>
  </w:num>
  <w:num w:numId="12" w16cid:durableId="1508524085">
    <w:abstractNumId w:val="23"/>
  </w:num>
  <w:num w:numId="13" w16cid:durableId="2077431086">
    <w:abstractNumId w:val="10"/>
  </w:num>
  <w:num w:numId="14" w16cid:durableId="1275986996">
    <w:abstractNumId w:val="26"/>
  </w:num>
  <w:num w:numId="15" w16cid:durableId="1550264754">
    <w:abstractNumId w:val="18"/>
  </w:num>
  <w:num w:numId="16" w16cid:durableId="1188447582">
    <w:abstractNumId w:val="16"/>
  </w:num>
  <w:num w:numId="17" w16cid:durableId="2054425586">
    <w:abstractNumId w:val="17"/>
  </w:num>
  <w:num w:numId="18" w16cid:durableId="118183178">
    <w:abstractNumId w:val="3"/>
  </w:num>
  <w:num w:numId="19" w16cid:durableId="983896995">
    <w:abstractNumId w:val="9"/>
  </w:num>
  <w:num w:numId="20" w16cid:durableId="209458832">
    <w:abstractNumId w:val="6"/>
  </w:num>
  <w:num w:numId="21" w16cid:durableId="887909961">
    <w:abstractNumId w:val="2"/>
  </w:num>
  <w:num w:numId="22" w16cid:durableId="846556509">
    <w:abstractNumId w:val="15"/>
  </w:num>
  <w:num w:numId="23" w16cid:durableId="1470394385">
    <w:abstractNumId w:val="8"/>
  </w:num>
  <w:num w:numId="24" w16cid:durableId="512378521">
    <w:abstractNumId w:val="22"/>
  </w:num>
  <w:num w:numId="25" w16cid:durableId="753091589">
    <w:abstractNumId w:val="20"/>
  </w:num>
  <w:num w:numId="26" w16cid:durableId="614024323">
    <w:abstractNumId w:val="7"/>
  </w:num>
  <w:num w:numId="27" w16cid:durableId="374080916">
    <w:abstractNumId w:val="19"/>
  </w:num>
  <w:num w:numId="28" w16cid:durableId="1039864646">
    <w:abstractNumId w:val="21"/>
  </w:num>
  <w:num w:numId="29" w16cid:durableId="9407214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F5"/>
    <w:rsid w:val="00003124"/>
    <w:rsid w:val="00004995"/>
    <w:rsid w:val="00006C1B"/>
    <w:rsid w:val="00006E8B"/>
    <w:rsid w:val="00007985"/>
    <w:rsid w:val="00007989"/>
    <w:rsid w:val="00012843"/>
    <w:rsid w:val="00012E45"/>
    <w:rsid w:val="000159B9"/>
    <w:rsid w:val="00017226"/>
    <w:rsid w:val="00020385"/>
    <w:rsid w:val="00020D87"/>
    <w:rsid w:val="0002155B"/>
    <w:rsid w:val="0002479B"/>
    <w:rsid w:val="000255CF"/>
    <w:rsid w:val="00037424"/>
    <w:rsid w:val="000425F7"/>
    <w:rsid w:val="000436FC"/>
    <w:rsid w:val="00045BE8"/>
    <w:rsid w:val="0005471A"/>
    <w:rsid w:val="00054BC8"/>
    <w:rsid w:val="00056074"/>
    <w:rsid w:val="00066E58"/>
    <w:rsid w:val="000744C5"/>
    <w:rsid w:val="000768F5"/>
    <w:rsid w:val="00084656"/>
    <w:rsid w:val="00086072"/>
    <w:rsid w:val="00091A8E"/>
    <w:rsid w:val="0009776A"/>
    <w:rsid w:val="000A64C9"/>
    <w:rsid w:val="000B0019"/>
    <w:rsid w:val="000B61AC"/>
    <w:rsid w:val="000C484F"/>
    <w:rsid w:val="000E0BBF"/>
    <w:rsid w:val="000E1223"/>
    <w:rsid w:val="000E4088"/>
    <w:rsid w:val="000E7CFC"/>
    <w:rsid w:val="000F4E58"/>
    <w:rsid w:val="000F7FDE"/>
    <w:rsid w:val="001000FC"/>
    <w:rsid w:val="00101904"/>
    <w:rsid w:val="0010551C"/>
    <w:rsid w:val="0010784B"/>
    <w:rsid w:val="00110A19"/>
    <w:rsid w:val="0011122C"/>
    <w:rsid w:val="001206C4"/>
    <w:rsid w:val="001222EA"/>
    <w:rsid w:val="00134EFF"/>
    <w:rsid w:val="00136F7C"/>
    <w:rsid w:val="00137B7E"/>
    <w:rsid w:val="0014297C"/>
    <w:rsid w:val="0014521E"/>
    <w:rsid w:val="001512DA"/>
    <w:rsid w:val="00155FD7"/>
    <w:rsid w:val="00161B6B"/>
    <w:rsid w:val="001700D7"/>
    <w:rsid w:val="00183DD4"/>
    <w:rsid w:val="00190C24"/>
    <w:rsid w:val="001A2E8D"/>
    <w:rsid w:val="001A7DC5"/>
    <w:rsid w:val="001B0902"/>
    <w:rsid w:val="001B1558"/>
    <w:rsid w:val="001C0BDF"/>
    <w:rsid w:val="001C11D2"/>
    <w:rsid w:val="001C43F0"/>
    <w:rsid w:val="001D14D3"/>
    <w:rsid w:val="001D2691"/>
    <w:rsid w:val="001D6201"/>
    <w:rsid w:val="001E0482"/>
    <w:rsid w:val="001F0628"/>
    <w:rsid w:val="001F2B12"/>
    <w:rsid w:val="001F3A36"/>
    <w:rsid w:val="00210212"/>
    <w:rsid w:val="0022235D"/>
    <w:rsid w:val="00225207"/>
    <w:rsid w:val="002263F9"/>
    <w:rsid w:val="00227C27"/>
    <w:rsid w:val="002371F7"/>
    <w:rsid w:val="0024309A"/>
    <w:rsid w:val="0024317E"/>
    <w:rsid w:val="002432E1"/>
    <w:rsid w:val="0024520B"/>
    <w:rsid w:val="00254B50"/>
    <w:rsid w:val="00255CE4"/>
    <w:rsid w:val="0026175B"/>
    <w:rsid w:val="0026200D"/>
    <w:rsid w:val="0026632B"/>
    <w:rsid w:val="002706E8"/>
    <w:rsid w:val="00273E87"/>
    <w:rsid w:val="00281304"/>
    <w:rsid w:val="00283716"/>
    <w:rsid w:val="0028377E"/>
    <w:rsid w:val="00285D41"/>
    <w:rsid w:val="0029363C"/>
    <w:rsid w:val="00295E5C"/>
    <w:rsid w:val="002963B0"/>
    <w:rsid w:val="002A4310"/>
    <w:rsid w:val="002B15E5"/>
    <w:rsid w:val="002B4211"/>
    <w:rsid w:val="002B5219"/>
    <w:rsid w:val="002B7607"/>
    <w:rsid w:val="002C47FC"/>
    <w:rsid w:val="002C6B45"/>
    <w:rsid w:val="002C7F67"/>
    <w:rsid w:val="002E16C9"/>
    <w:rsid w:val="002E3E34"/>
    <w:rsid w:val="002F65CA"/>
    <w:rsid w:val="002F78A2"/>
    <w:rsid w:val="0030314F"/>
    <w:rsid w:val="00307BFA"/>
    <w:rsid w:val="00310C41"/>
    <w:rsid w:val="00314437"/>
    <w:rsid w:val="00320670"/>
    <w:rsid w:val="00327715"/>
    <w:rsid w:val="00331C10"/>
    <w:rsid w:val="00337EAA"/>
    <w:rsid w:val="0034353C"/>
    <w:rsid w:val="00355E78"/>
    <w:rsid w:val="003607F5"/>
    <w:rsid w:val="00380066"/>
    <w:rsid w:val="0038096F"/>
    <w:rsid w:val="00381397"/>
    <w:rsid w:val="00385A56"/>
    <w:rsid w:val="0039507D"/>
    <w:rsid w:val="00396D5E"/>
    <w:rsid w:val="003975D2"/>
    <w:rsid w:val="00397B2B"/>
    <w:rsid w:val="003A39D8"/>
    <w:rsid w:val="003A6ED6"/>
    <w:rsid w:val="003B2897"/>
    <w:rsid w:val="003B4642"/>
    <w:rsid w:val="003B60AD"/>
    <w:rsid w:val="003C33FE"/>
    <w:rsid w:val="003C6A28"/>
    <w:rsid w:val="003D0CD0"/>
    <w:rsid w:val="003D33F7"/>
    <w:rsid w:val="003D391B"/>
    <w:rsid w:val="003D540F"/>
    <w:rsid w:val="003D5AC1"/>
    <w:rsid w:val="003E5C52"/>
    <w:rsid w:val="003E6352"/>
    <w:rsid w:val="003F1559"/>
    <w:rsid w:val="003F643A"/>
    <w:rsid w:val="00402CFC"/>
    <w:rsid w:val="00403EF1"/>
    <w:rsid w:val="00404BCA"/>
    <w:rsid w:val="00416A49"/>
    <w:rsid w:val="004172BE"/>
    <w:rsid w:val="00423E36"/>
    <w:rsid w:val="00424DED"/>
    <w:rsid w:val="0042531B"/>
    <w:rsid w:val="00432E2B"/>
    <w:rsid w:val="00442FE1"/>
    <w:rsid w:val="004468D2"/>
    <w:rsid w:val="00450A31"/>
    <w:rsid w:val="004520F1"/>
    <w:rsid w:val="0045411F"/>
    <w:rsid w:val="00455296"/>
    <w:rsid w:val="004562DA"/>
    <w:rsid w:val="00461D27"/>
    <w:rsid w:val="00476A07"/>
    <w:rsid w:val="00481B0E"/>
    <w:rsid w:val="00484888"/>
    <w:rsid w:val="00492A73"/>
    <w:rsid w:val="00493495"/>
    <w:rsid w:val="00493D3A"/>
    <w:rsid w:val="004A5E19"/>
    <w:rsid w:val="004A7530"/>
    <w:rsid w:val="004B4132"/>
    <w:rsid w:val="004C62D2"/>
    <w:rsid w:val="004C67C4"/>
    <w:rsid w:val="004C685E"/>
    <w:rsid w:val="004D2B44"/>
    <w:rsid w:val="004D39A1"/>
    <w:rsid w:val="004E5A25"/>
    <w:rsid w:val="004E62A1"/>
    <w:rsid w:val="00501826"/>
    <w:rsid w:val="00506655"/>
    <w:rsid w:val="00511FAB"/>
    <w:rsid w:val="00522525"/>
    <w:rsid w:val="00530A10"/>
    <w:rsid w:val="00531A2A"/>
    <w:rsid w:val="00540992"/>
    <w:rsid w:val="00543A32"/>
    <w:rsid w:val="005522C6"/>
    <w:rsid w:val="00554639"/>
    <w:rsid w:val="00555585"/>
    <w:rsid w:val="0055582F"/>
    <w:rsid w:val="00555C3B"/>
    <w:rsid w:val="0055739F"/>
    <w:rsid w:val="005919EA"/>
    <w:rsid w:val="005954A3"/>
    <w:rsid w:val="005A22BE"/>
    <w:rsid w:val="005A28EB"/>
    <w:rsid w:val="005A2B69"/>
    <w:rsid w:val="005A4A58"/>
    <w:rsid w:val="005B0EC5"/>
    <w:rsid w:val="005B439C"/>
    <w:rsid w:val="005B79A8"/>
    <w:rsid w:val="005C22C1"/>
    <w:rsid w:val="005C3874"/>
    <w:rsid w:val="005C68D9"/>
    <w:rsid w:val="005D13EA"/>
    <w:rsid w:val="005D4778"/>
    <w:rsid w:val="005F0905"/>
    <w:rsid w:val="005F376B"/>
    <w:rsid w:val="005F4331"/>
    <w:rsid w:val="005F489A"/>
    <w:rsid w:val="005F77A4"/>
    <w:rsid w:val="00600B38"/>
    <w:rsid w:val="0061283B"/>
    <w:rsid w:val="006129D9"/>
    <w:rsid w:val="0061794C"/>
    <w:rsid w:val="0062040F"/>
    <w:rsid w:val="006239A5"/>
    <w:rsid w:val="00625597"/>
    <w:rsid w:val="00636B71"/>
    <w:rsid w:val="006420CC"/>
    <w:rsid w:val="00642285"/>
    <w:rsid w:val="006438CE"/>
    <w:rsid w:val="00646AE8"/>
    <w:rsid w:val="006471C1"/>
    <w:rsid w:val="00647DC3"/>
    <w:rsid w:val="0065100E"/>
    <w:rsid w:val="00664A9F"/>
    <w:rsid w:val="00672747"/>
    <w:rsid w:val="00685F4D"/>
    <w:rsid w:val="0068756E"/>
    <w:rsid w:val="00691AAE"/>
    <w:rsid w:val="006940AF"/>
    <w:rsid w:val="006A0515"/>
    <w:rsid w:val="006A228D"/>
    <w:rsid w:val="006A2AFF"/>
    <w:rsid w:val="006A7BC8"/>
    <w:rsid w:val="006B3DF1"/>
    <w:rsid w:val="006B6A14"/>
    <w:rsid w:val="006C3D8E"/>
    <w:rsid w:val="006D069E"/>
    <w:rsid w:val="006D0BCD"/>
    <w:rsid w:val="006D5A8D"/>
    <w:rsid w:val="006D716E"/>
    <w:rsid w:val="006E1C19"/>
    <w:rsid w:val="006E59A0"/>
    <w:rsid w:val="006E65DD"/>
    <w:rsid w:val="006F0011"/>
    <w:rsid w:val="006F4FCC"/>
    <w:rsid w:val="006F750F"/>
    <w:rsid w:val="006F7E7C"/>
    <w:rsid w:val="00702319"/>
    <w:rsid w:val="0070421D"/>
    <w:rsid w:val="00711576"/>
    <w:rsid w:val="00717129"/>
    <w:rsid w:val="00720533"/>
    <w:rsid w:val="00721172"/>
    <w:rsid w:val="007274E7"/>
    <w:rsid w:val="007277B1"/>
    <w:rsid w:val="00730A3C"/>
    <w:rsid w:val="0073107A"/>
    <w:rsid w:val="0073244D"/>
    <w:rsid w:val="00733FE5"/>
    <w:rsid w:val="0075625A"/>
    <w:rsid w:val="007572DF"/>
    <w:rsid w:val="0076714C"/>
    <w:rsid w:val="00767DEF"/>
    <w:rsid w:val="00770194"/>
    <w:rsid w:val="00775BF5"/>
    <w:rsid w:val="00781A1B"/>
    <w:rsid w:val="00791B6B"/>
    <w:rsid w:val="0079454F"/>
    <w:rsid w:val="00796A31"/>
    <w:rsid w:val="007976AE"/>
    <w:rsid w:val="007B451C"/>
    <w:rsid w:val="007B4D86"/>
    <w:rsid w:val="007B4E7E"/>
    <w:rsid w:val="007B7A2C"/>
    <w:rsid w:val="007C481D"/>
    <w:rsid w:val="007D023E"/>
    <w:rsid w:val="007D0BEA"/>
    <w:rsid w:val="007D3462"/>
    <w:rsid w:val="007E0FDF"/>
    <w:rsid w:val="007E686E"/>
    <w:rsid w:val="007E76B0"/>
    <w:rsid w:val="0080316C"/>
    <w:rsid w:val="0080579A"/>
    <w:rsid w:val="00805FFC"/>
    <w:rsid w:val="00807815"/>
    <w:rsid w:val="00813360"/>
    <w:rsid w:val="008171D4"/>
    <w:rsid w:val="0083235D"/>
    <w:rsid w:val="00834179"/>
    <w:rsid w:val="0084574E"/>
    <w:rsid w:val="0084602D"/>
    <w:rsid w:val="00852BD5"/>
    <w:rsid w:val="0085362C"/>
    <w:rsid w:val="008552BA"/>
    <w:rsid w:val="008631CC"/>
    <w:rsid w:val="008637E3"/>
    <w:rsid w:val="00864110"/>
    <w:rsid w:val="008641E2"/>
    <w:rsid w:val="008649B3"/>
    <w:rsid w:val="008714C2"/>
    <w:rsid w:val="00872CF5"/>
    <w:rsid w:val="00873371"/>
    <w:rsid w:val="0088002B"/>
    <w:rsid w:val="008818B5"/>
    <w:rsid w:val="00882017"/>
    <w:rsid w:val="008859FA"/>
    <w:rsid w:val="00885C2F"/>
    <w:rsid w:val="00887A49"/>
    <w:rsid w:val="00892AC8"/>
    <w:rsid w:val="008A4FA7"/>
    <w:rsid w:val="008A7AFC"/>
    <w:rsid w:val="008A7FA2"/>
    <w:rsid w:val="008B47F1"/>
    <w:rsid w:val="008E0D32"/>
    <w:rsid w:val="008E1D94"/>
    <w:rsid w:val="008E3D40"/>
    <w:rsid w:val="008F35AC"/>
    <w:rsid w:val="008F3B43"/>
    <w:rsid w:val="008F4E37"/>
    <w:rsid w:val="00906061"/>
    <w:rsid w:val="00907963"/>
    <w:rsid w:val="009117ED"/>
    <w:rsid w:val="00911847"/>
    <w:rsid w:val="00916535"/>
    <w:rsid w:val="009222D8"/>
    <w:rsid w:val="009250AA"/>
    <w:rsid w:val="00931647"/>
    <w:rsid w:val="00935647"/>
    <w:rsid w:val="00935DAF"/>
    <w:rsid w:val="00936613"/>
    <w:rsid w:val="00942F8D"/>
    <w:rsid w:val="009478E0"/>
    <w:rsid w:val="0095002D"/>
    <w:rsid w:val="00956995"/>
    <w:rsid w:val="00956DFE"/>
    <w:rsid w:val="0096078C"/>
    <w:rsid w:val="009624ED"/>
    <w:rsid w:val="009642F6"/>
    <w:rsid w:val="0096595E"/>
    <w:rsid w:val="009659AB"/>
    <w:rsid w:val="009708C3"/>
    <w:rsid w:val="00970FDD"/>
    <w:rsid w:val="009714E7"/>
    <w:rsid w:val="00974263"/>
    <w:rsid w:val="009757A3"/>
    <w:rsid w:val="00983592"/>
    <w:rsid w:val="0098373B"/>
    <w:rsid w:val="009957C6"/>
    <w:rsid w:val="009A5056"/>
    <w:rsid w:val="009A7275"/>
    <w:rsid w:val="009B5E44"/>
    <w:rsid w:val="009B7893"/>
    <w:rsid w:val="009C1497"/>
    <w:rsid w:val="009C7501"/>
    <w:rsid w:val="009D6254"/>
    <w:rsid w:val="009E5EE5"/>
    <w:rsid w:val="009E6F03"/>
    <w:rsid w:val="009F02B3"/>
    <w:rsid w:val="009F0DD9"/>
    <w:rsid w:val="009F55E5"/>
    <w:rsid w:val="00A055F6"/>
    <w:rsid w:val="00A05AC8"/>
    <w:rsid w:val="00A117DE"/>
    <w:rsid w:val="00A11CE2"/>
    <w:rsid w:val="00A11E40"/>
    <w:rsid w:val="00A133AD"/>
    <w:rsid w:val="00A2099F"/>
    <w:rsid w:val="00A25FB3"/>
    <w:rsid w:val="00A3102E"/>
    <w:rsid w:val="00A35F99"/>
    <w:rsid w:val="00A36618"/>
    <w:rsid w:val="00A37A8D"/>
    <w:rsid w:val="00A40883"/>
    <w:rsid w:val="00A425DA"/>
    <w:rsid w:val="00A4668D"/>
    <w:rsid w:val="00A470BA"/>
    <w:rsid w:val="00A47F67"/>
    <w:rsid w:val="00A524A7"/>
    <w:rsid w:val="00A61F19"/>
    <w:rsid w:val="00A65710"/>
    <w:rsid w:val="00A659C7"/>
    <w:rsid w:val="00A66B85"/>
    <w:rsid w:val="00A84245"/>
    <w:rsid w:val="00A86680"/>
    <w:rsid w:val="00A90113"/>
    <w:rsid w:val="00A9137C"/>
    <w:rsid w:val="00AA1E84"/>
    <w:rsid w:val="00AA39E4"/>
    <w:rsid w:val="00AA7BDF"/>
    <w:rsid w:val="00AB0A25"/>
    <w:rsid w:val="00AC1BFA"/>
    <w:rsid w:val="00AC555D"/>
    <w:rsid w:val="00AD2501"/>
    <w:rsid w:val="00AD5F26"/>
    <w:rsid w:val="00AE022D"/>
    <w:rsid w:val="00AF2E33"/>
    <w:rsid w:val="00AF55C4"/>
    <w:rsid w:val="00AF7DD9"/>
    <w:rsid w:val="00B0432B"/>
    <w:rsid w:val="00B04635"/>
    <w:rsid w:val="00B05168"/>
    <w:rsid w:val="00B079BC"/>
    <w:rsid w:val="00B10CCB"/>
    <w:rsid w:val="00B14349"/>
    <w:rsid w:val="00B1501E"/>
    <w:rsid w:val="00B17A51"/>
    <w:rsid w:val="00B2592A"/>
    <w:rsid w:val="00B27433"/>
    <w:rsid w:val="00B30EA8"/>
    <w:rsid w:val="00B310A5"/>
    <w:rsid w:val="00B32C2B"/>
    <w:rsid w:val="00B33337"/>
    <w:rsid w:val="00B3450A"/>
    <w:rsid w:val="00B37E29"/>
    <w:rsid w:val="00B401ED"/>
    <w:rsid w:val="00B42B37"/>
    <w:rsid w:val="00B52460"/>
    <w:rsid w:val="00B54565"/>
    <w:rsid w:val="00B55032"/>
    <w:rsid w:val="00B554EA"/>
    <w:rsid w:val="00B603B4"/>
    <w:rsid w:val="00B613E4"/>
    <w:rsid w:val="00B62B7D"/>
    <w:rsid w:val="00B6551E"/>
    <w:rsid w:val="00B70170"/>
    <w:rsid w:val="00B8015A"/>
    <w:rsid w:val="00B8699D"/>
    <w:rsid w:val="00B94708"/>
    <w:rsid w:val="00B9593D"/>
    <w:rsid w:val="00B9771E"/>
    <w:rsid w:val="00BA486E"/>
    <w:rsid w:val="00BB243A"/>
    <w:rsid w:val="00BB3172"/>
    <w:rsid w:val="00BB71A5"/>
    <w:rsid w:val="00BC3EDB"/>
    <w:rsid w:val="00BC4AA9"/>
    <w:rsid w:val="00BC6556"/>
    <w:rsid w:val="00BD0F68"/>
    <w:rsid w:val="00BD2974"/>
    <w:rsid w:val="00BD5097"/>
    <w:rsid w:val="00BE0D17"/>
    <w:rsid w:val="00BE21A6"/>
    <w:rsid w:val="00BE78D2"/>
    <w:rsid w:val="00BF3370"/>
    <w:rsid w:val="00BF3E30"/>
    <w:rsid w:val="00BF6DAC"/>
    <w:rsid w:val="00C0074E"/>
    <w:rsid w:val="00C07E26"/>
    <w:rsid w:val="00C11A5C"/>
    <w:rsid w:val="00C128C3"/>
    <w:rsid w:val="00C22FD7"/>
    <w:rsid w:val="00C253B9"/>
    <w:rsid w:val="00C31759"/>
    <w:rsid w:val="00C33A93"/>
    <w:rsid w:val="00C347F1"/>
    <w:rsid w:val="00C3702B"/>
    <w:rsid w:val="00C51A70"/>
    <w:rsid w:val="00C51D08"/>
    <w:rsid w:val="00C53ACD"/>
    <w:rsid w:val="00C54897"/>
    <w:rsid w:val="00C55ED4"/>
    <w:rsid w:val="00C6186E"/>
    <w:rsid w:val="00C81560"/>
    <w:rsid w:val="00C826E0"/>
    <w:rsid w:val="00C83C06"/>
    <w:rsid w:val="00C93A66"/>
    <w:rsid w:val="00C94305"/>
    <w:rsid w:val="00C952F8"/>
    <w:rsid w:val="00C97A5D"/>
    <w:rsid w:val="00CA66DC"/>
    <w:rsid w:val="00CB07AD"/>
    <w:rsid w:val="00CB609F"/>
    <w:rsid w:val="00CC7632"/>
    <w:rsid w:val="00CD1828"/>
    <w:rsid w:val="00CD57A1"/>
    <w:rsid w:val="00CD793C"/>
    <w:rsid w:val="00CF1714"/>
    <w:rsid w:val="00CF7E1D"/>
    <w:rsid w:val="00D01CD2"/>
    <w:rsid w:val="00D046A3"/>
    <w:rsid w:val="00D13431"/>
    <w:rsid w:val="00D23470"/>
    <w:rsid w:val="00D247C8"/>
    <w:rsid w:val="00D25E46"/>
    <w:rsid w:val="00D42CC6"/>
    <w:rsid w:val="00D517CD"/>
    <w:rsid w:val="00D5642E"/>
    <w:rsid w:val="00D5739A"/>
    <w:rsid w:val="00D678D1"/>
    <w:rsid w:val="00D71FD9"/>
    <w:rsid w:val="00D74D47"/>
    <w:rsid w:val="00D75050"/>
    <w:rsid w:val="00D769AA"/>
    <w:rsid w:val="00D842DF"/>
    <w:rsid w:val="00D94442"/>
    <w:rsid w:val="00DA34B9"/>
    <w:rsid w:val="00DA56DF"/>
    <w:rsid w:val="00DB3286"/>
    <w:rsid w:val="00DB5025"/>
    <w:rsid w:val="00DC57E8"/>
    <w:rsid w:val="00DC5E03"/>
    <w:rsid w:val="00DD416E"/>
    <w:rsid w:val="00DD5973"/>
    <w:rsid w:val="00DD7CD7"/>
    <w:rsid w:val="00DE0252"/>
    <w:rsid w:val="00DE1E49"/>
    <w:rsid w:val="00DF2836"/>
    <w:rsid w:val="00DF5C3F"/>
    <w:rsid w:val="00E04901"/>
    <w:rsid w:val="00E068D2"/>
    <w:rsid w:val="00E13B34"/>
    <w:rsid w:val="00E24808"/>
    <w:rsid w:val="00E24A7A"/>
    <w:rsid w:val="00E2729F"/>
    <w:rsid w:val="00E3336E"/>
    <w:rsid w:val="00E402F9"/>
    <w:rsid w:val="00E42000"/>
    <w:rsid w:val="00E42F59"/>
    <w:rsid w:val="00E441D6"/>
    <w:rsid w:val="00E46D0C"/>
    <w:rsid w:val="00E46FDC"/>
    <w:rsid w:val="00E47FB8"/>
    <w:rsid w:val="00E51693"/>
    <w:rsid w:val="00E54334"/>
    <w:rsid w:val="00E555DE"/>
    <w:rsid w:val="00E57C4F"/>
    <w:rsid w:val="00E612F3"/>
    <w:rsid w:val="00E621CA"/>
    <w:rsid w:val="00E65531"/>
    <w:rsid w:val="00E77B69"/>
    <w:rsid w:val="00E82908"/>
    <w:rsid w:val="00E872C5"/>
    <w:rsid w:val="00EA2EFC"/>
    <w:rsid w:val="00EA4620"/>
    <w:rsid w:val="00EB03D7"/>
    <w:rsid w:val="00EB2E59"/>
    <w:rsid w:val="00EB56EA"/>
    <w:rsid w:val="00EB623B"/>
    <w:rsid w:val="00ED55E6"/>
    <w:rsid w:val="00ED7B8F"/>
    <w:rsid w:val="00EE589D"/>
    <w:rsid w:val="00EF1893"/>
    <w:rsid w:val="00EF474F"/>
    <w:rsid w:val="00EF4AC5"/>
    <w:rsid w:val="00EF4C82"/>
    <w:rsid w:val="00F15134"/>
    <w:rsid w:val="00F1695E"/>
    <w:rsid w:val="00F16981"/>
    <w:rsid w:val="00F249E6"/>
    <w:rsid w:val="00F24E88"/>
    <w:rsid w:val="00F30802"/>
    <w:rsid w:val="00F367B3"/>
    <w:rsid w:val="00F37CA9"/>
    <w:rsid w:val="00F40D33"/>
    <w:rsid w:val="00F41179"/>
    <w:rsid w:val="00F43573"/>
    <w:rsid w:val="00F447A2"/>
    <w:rsid w:val="00F50B18"/>
    <w:rsid w:val="00F643DB"/>
    <w:rsid w:val="00F706BC"/>
    <w:rsid w:val="00F711D8"/>
    <w:rsid w:val="00F715B5"/>
    <w:rsid w:val="00F72F10"/>
    <w:rsid w:val="00F74BC7"/>
    <w:rsid w:val="00F758AC"/>
    <w:rsid w:val="00F7657E"/>
    <w:rsid w:val="00F9033F"/>
    <w:rsid w:val="00F977A2"/>
    <w:rsid w:val="00FA47EF"/>
    <w:rsid w:val="00FB0CCB"/>
    <w:rsid w:val="00FB247F"/>
    <w:rsid w:val="00FB46D4"/>
    <w:rsid w:val="00FB7AE5"/>
    <w:rsid w:val="00FC053F"/>
    <w:rsid w:val="00FC4E20"/>
    <w:rsid w:val="00FD00EE"/>
    <w:rsid w:val="00FD0E47"/>
    <w:rsid w:val="00FD4E01"/>
    <w:rsid w:val="00FD5B33"/>
    <w:rsid w:val="00FE1554"/>
    <w:rsid w:val="00FE6C82"/>
    <w:rsid w:val="00FF2020"/>
    <w:rsid w:val="00FF2E7B"/>
    <w:rsid w:val="00FF61CC"/>
    <w:rsid w:val="00FF696B"/>
    <w:rsid w:val="012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85B8A"/>
  <w15:chartTrackingRefBased/>
  <w15:docId w15:val="{48C3A35E-C610-49E3-91B0-D42083E6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C54897"/>
    <w:pPr>
      <w:spacing w:after="120"/>
    </w:pPr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376E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897"/>
    <w:pPr>
      <w:spacing w:before="240"/>
      <w:outlineLvl w:val="3"/>
    </w:pPr>
    <w:rPr>
      <w:rFonts w:cs="Arial"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character" w:customStyle="1" w:styleId="Heading1Char">
    <w:name w:val="Heading 1 Char"/>
    <w:link w:val="Heading1"/>
    <w:uiPriority w:val="9"/>
    <w:rsid w:val="009222D8"/>
    <w:rPr>
      <w:rFonts w:ascii="Noto Sans" w:eastAsia="MS Mincho" w:hAnsi="Noto Sans" w:cs="Arial"/>
      <w:b/>
      <w:color w:val="00376E"/>
      <w:sz w:val="36"/>
      <w:szCs w:val="48"/>
      <w:lang w:val="en-GB"/>
    </w:rPr>
  </w:style>
  <w:style w:type="character" w:customStyle="1" w:styleId="Heading2Char">
    <w:name w:val="Heading 2 Char"/>
    <w:link w:val="Heading2"/>
    <w:uiPriority w:val="9"/>
    <w:rsid w:val="007274E7"/>
    <w:rPr>
      <w:rFonts w:ascii="Arial" w:eastAsia="Times New Roman" w:hAnsi="Arial" w:cs="Arial"/>
      <w:b/>
      <w:bCs/>
      <w:sz w:val="32"/>
      <w:szCs w:val="40"/>
    </w:rPr>
  </w:style>
  <w:style w:type="character" w:customStyle="1" w:styleId="Heading3Char">
    <w:name w:val="Heading 3 Char"/>
    <w:link w:val="Heading3"/>
    <w:uiPriority w:val="9"/>
    <w:rsid w:val="007274E7"/>
    <w:rPr>
      <w:rFonts w:ascii="Arial" w:eastAsia="Times New Roman" w:hAnsi="Arial" w:cs="Arial"/>
      <w:bCs/>
      <w:sz w:val="28"/>
      <w:szCs w:val="28"/>
    </w:rPr>
  </w:style>
  <w:style w:type="character" w:customStyle="1" w:styleId="Heading4Char">
    <w:name w:val="Heading 4 Char"/>
    <w:link w:val="Heading4"/>
    <w:uiPriority w:val="9"/>
    <w:rsid w:val="00C54897"/>
    <w:rPr>
      <w:rFonts w:ascii="Arial" w:eastAsia="Times New Roman" w:hAnsi="Arial" w:cs="Arial"/>
      <w:bCs/>
      <w:i/>
      <w:iCs/>
      <w:sz w:val="2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aliases w:val="Bullet copy"/>
    <w:basedOn w:val="Normal"/>
    <w:uiPriority w:val="34"/>
    <w:qFormat/>
    <w:rsid w:val="00C22FD7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link w:val="Heading5"/>
    <w:uiPriority w:val="9"/>
    <w:semiHidden/>
    <w:rsid w:val="00CD793C"/>
    <w:rPr>
      <w:rFonts w:ascii="Arial" w:eastAsia="Times New Roman" w:hAnsi="Arial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C54897"/>
    <w:pPr>
      <w:spacing w:after="0"/>
      <w:contextualSpacing/>
    </w:pPr>
    <w:rPr>
      <w:rFonts w:ascii="Arial Black" w:hAnsi="Arial Black"/>
      <w:color w:val="00376E"/>
      <w:spacing w:val="-10"/>
      <w:kern w:val="28"/>
      <w:sz w:val="48"/>
      <w:szCs w:val="56"/>
    </w:rPr>
  </w:style>
  <w:style w:type="character" w:customStyle="1" w:styleId="TitleChar">
    <w:name w:val="Title Char"/>
    <w:link w:val="Title"/>
    <w:uiPriority w:val="10"/>
    <w:rsid w:val="00C54897"/>
    <w:rPr>
      <w:rFonts w:ascii="Arial Black" w:eastAsia="Times New Roman" w:hAnsi="Arial Black" w:cs="Times New Roman"/>
      <w:color w:val="00376E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link w:val="Subtitle"/>
    <w:uiPriority w:val="11"/>
    <w:rsid w:val="00CD793C"/>
    <w:rPr>
      <w:rFonts w:ascii="Arial" w:eastAsia="Times New Roman" w:hAnsi="Arial"/>
      <w:spacing w:val="15"/>
      <w:sz w:val="22"/>
      <w:szCs w:val="22"/>
    </w:rPr>
  </w:style>
  <w:style w:type="character" w:styleId="SubtleEmphasis">
    <w:name w:val="Subtle Emphasis"/>
    <w:uiPriority w:val="19"/>
    <w:rsid w:val="00EF474F"/>
    <w:rPr>
      <w:i/>
      <w:iCs/>
      <w:color w:val="404040"/>
    </w:rPr>
  </w:style>
  <w:style w:type="character" w:styleId="Emphasis">
    <w:name w:val="Emphasis"/>
    <w:uiPriority w:val="20"/>
    <w:rsid w:val="00EF474F"/>
    <w:rPr>
      <w:i/>
      <w:iCs/>
    </w:rPr>
  </w:style>
  <w:style w:type="character" w:styleId="IntenseEmphasis">
    <w:name w:val="Intense Emphasis"/>
    <w:uiPriority w:val="21"/>
    <w:rsid w:val="00EF474F"/>
    <w:rPr>
      <w:i/>
      <w:iCs/>
      <w:color w:val="auto"/>
    </w:rPr>
  </w:style>
  <w:style w:type="character" w:styleId="Strong">
    <w:name w:val="Strong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F474F"/>
    <w:rPr>
      <w:rFonts w:ascii="Arial" w:hAnsi="Arial"/>
      <w:i/>
      <w:iCs/>
      <w:color w:val="40404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5EB8"/>
        <w:bottom w:val="single" w:sz="4" w:space="10" w:color="005EB8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uiPriority w:val="31"/>
    <w:rsid w:val="00EF474F"/>
    <w:rPr>
      <w:smallCaps/>
      <w:color w:val="5A5A5A"/>
    </w:rPr>
  </w:style>
  <w:style w:type="character" w:styleId="IntenseReference">
    <w:name w:val="Intense Reference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C54897"/>
    <w:rPr>
      <w:rFonts w:ascii="Arial" w:eastAsia="Times New Roman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376E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ptos Display" w:hAnsi="Aptos Display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D5B33"/>
    <w:rPr>
      <w:color w:val="196DB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7E7C"/>
    <w:pPr>
      <w:keepNext/>
      <w:keepLines/>
      <w:widowControl/>
      <w:suppressAutoHyphens w:val="0"/>
      <w:autoSpaceDE/>
      <w:autoSpaceDN/>
      <w:adjustRightInd/>
      <w:spacing w:line="259" w:lineRule="auto"/>
      <w:textAlignment w:val="auto"/>
      <w:outlineLvl w:val="9"/>
    </w:pPr>
    <w:rPr>
      <w:rFonts w:eastAsia="Times New Roman" w:cs="Times New Roman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23B"/>
    <w:pPr>
      <w:spacing w:after="100"/>
    </w:pPr>
    <w:rPr>
      <w:color w:val="005EB8"/>
    </w:rPr>
  </w:style>
  <w:style w:type="paragraph" w:styleId="TOC2">
    <w:name w:val="toc 2"/>
    <w:basedOn w:val="Normal"/>
    <w:next w:val="Normal"/>
    <w:autoRedefine/>
    <w:uiPriority w:val="39"/>
    <w:unhideWhenUsed/>
    <w:rsid w:val="006F7E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623B"/>
    <w:pPr>
      <w:spacing w:after="100"/>
      <w:ind w:left="440"/>
    </w:pPr>
    <w:rPr>
      <w:color w:val="7F7F7F"/>
    </w:rPr>
  </w:style>
  <w:style w:type="character" w:styleId="UnresolvedMention">
    <w:name w:val="Unresolved Mention"/>
    <w:uiPriority w:val="99"/>
    <w:rsid w:val="00775BF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12E45"/>
    <w:rPr>
      <w:color w:val="595959"/>
      <w:u w:val="single"/>
    </w:rPr>
  </w:style>
  <w:style w:type="character" w:styleId="CommentReference">
    <w:name w:val="annotation reference"/>
    <w:uiPriority w:val="99"/>
    <w:semiHidden/>
    <w:unhideWhenUsed/>
    <w:rsid w:val="00C9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3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94305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4305"/>
    <w:rPr>
      <w:rFonts w:ascii="Arial" w:eastAsia="Times New Roman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247F"/>
    <w:rPr>
      <w:rFonts w:ascii="Arial" w:eastAsia="Times New Roman" w:hAnsi="Arial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rsid w:val="00C347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sm.co.uk/iso-27001/?_gl=1*1y0ecww*_up*MQ..*_ga*Nzg4NDAwODgxLjE3NzE0NzYxNTg.*_ga_3D8T6ZJS4B*czE3NzE0NzYxNTgkbzEkZzAkdDE3NzE0NzYxNTgkajYwJGwwJGg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gov.qld.gov.au/finance-procurement-and-travel/procurement/procurement-resources/search-for-procurement-policies-resources-tools-and-templates/queensland-government-supplier-code-of-conduct-202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finance-procurement-and-travel/procurement/procurement-resources/search-for-procurement-policies-resources-tools-and-templates/procurement-assurance-model-framewor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ali.yeolekar\Downloads\a4p-document-no-cover-Df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D7B64A43EBF4886B07C6BA76B0868" ma:contentTypeVersion="18" ma:contentTypeDescription="Create a new document." ma:contentTypeScope="" ma:versionID="f28388db0615b4a932b37e85f1520f89">
  <xsd:schema xmlns:xsd="http://www.w3.org/2001/XMLSchema" xmlns:xs="http://www.w3.org/2001/XMLSchema" xmlns:p="http://schemas.microsoft.com/office/2006/metadata/properties" xmlns:ns2="34baf053-a152-4cd0-9768-6468cce4c94f" xmlns:ns3="9e718ab4-b7d1-4f21-874a-7353e3e07e25" targetNamespace="http://schemas.microsoft.com/office/2006/metadata/properties" ma:root="true" ma:fieldsID="e05970ffada5b9f4b236d272a39efb2c" ns2:_="" ns3:_="">
    <xsd:import namespace="34baf053-a152-4cd0-9768-6468cce4c94f"/>
    <xsd:import namespace="9e718ab4-b7d1-4f21-874a-7353e3e07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TransfertoeDRM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f053-a152-4cd0-9768-6468cce4c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ransfertoeDRMS" ma:index="22" nillable="true" ma:displayName="Transfer to eDRMS" ma:format="Dropdown" ma:hidden="true" ma:internalName="TransfertoeDRMS" ma:readOnly="false">
      <xsd:simpleType>
        <xsd:restriction base="dms:Choice">
          <xsd:enumeration value="No"/>
          <xsd:enumeration value="Transferred "/>
          <xsd:enumeration value="Pending to Transfer 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ab4-b7d1-4f21-874a-7353e3e07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868b6b60-9b98-465a-9c06-148a14074d8b}" ma:internalName="TaxCatchAll" ma:readOnly="false" ma:showField="CatchAllData" ma:web="9e718ab4-b7d1-4f21-874a-7353e3e07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af053-a152-4cd0-9768-6468cce4c94f">
      <Terms xmlns="http://schemas.microsoft.com/office/infopath/2007/PartnerControls"/>
    </lcf76f155ced4ddcb4097134ff3c332f>
    <TransfertoeDRMS xmlns="34baf053-a152-4cd0-9768-6468cce4c94f" xsi:nil="true"/>
    <TaxCatchAll xmlns="9e718ab4-b7d1-4f21-874a-7353e3e07e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B9A00-DA68-41A9-A887-96718E9C9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af053-a152-4cd0-9768-6468cce4c94f"/>
    <ds:schemaRef ds:uri="9e718ab4-b7d1-4f21-874a-7353e3e07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913E2-0B49-40BA-8C6D-C02E6E158EC9}">
  <ds:schemaRefs>
    <ds:schemaRef ds:uri="http://schemas.microsoft.com/office/2006/metadata/properties"/>
    <ds:schemaRef ds:uri="http://schemas.microsoft.com/office/infopath/2007/PartnerControls"/>
    <ds:schemaRef ds:uri="34baf053-a152-4cd0-9768-6468cce4c94f"/>
    <ds:schemaRef ds:uri="9e718ab4-b7d1-4f21-874a-7353e3e07e25"/>
  </ds:schemaRefs>
</ds:datastoreItem>
</file>

<file path=customXml/itemProps3.xml><?xml version="1.0" encoding="utf-8"?>
<ds:datastoreItem xmlns:ds="http://schemas.openxmlformats.org/officeDocument/2006/customXml" ds:itemID="{E3F286C1-29F2-4A92-97D6-B897CC873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79920-23F5-452B-9E1C-A90566D4A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a4p-document-no-cover-DfQ</Template>
  <TotalTime>66</TotalTime>
  <Pages>1</Pages>
  <Words>335</Words>
  <Characters>2175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A4P Document-no-cover-DfQ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Information (Procurement and Delivery): Supplier Guidelines</dc:title>
  <dc:subject/>
  <dc:creator>Queensland Government</dc:creator>
  <cp:keywords/>
  <dc:description/>
  <cp:lastModifiedBy>Wade Mann</cp:lastModifiedBy>
  <cp:revision>150</cp:revision>
  <cp:lastPrinted>2025-08-06T12:04:00Z</cp:lastPrinted>
  <dcterms:created xsi:type="dcterms:W3CDTF">2026-02-11T08:18:00Z</dcterms:created>
  <dcterms:modified xsi:type="dcterms:W3CDTF">2026-05-10T22:15:00Z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0x010100B53D7B64A43EBF4886B07C6BA76B0868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  <property fmtid="{D5CDD505-2E9C-101B-9397-08002B2CF9AE}" pid="5" name="Document type">
    <vt:lpwstr>14</vt:lpwstr>
  </property>
  <property fmtid="{D5CDD505-2E9C-101B-9397-08002B2CF9AE}" pid="6" name="Description0">
    <vt:lpwstr/>
  </property>
  <property fmtid="{D5CDD505-2E9C-101B-9397-08002B2CF9AE}" pid="7" name="Department-new">
    <vt:lpwstr>HPW</vt:lpwstr>
  </property>
  <property fmtid="{D5CDD505-2E9C-101B-9397-08002B2CF9AE}" pid="8" name="Owner">
    <vt:lpwstr/>
  </property>
  <property fmtid="{D5CDD505-2E9C-101B-9397-08002B2CF9AE}" pid="9" name="Template type">
    <vt:lpwstr>General</vt:lpwstr>
  </property>
  <property fmtid="{D5CDD505-2E9C-101B-9397-08002B2CF9AE}" pid="10" name="Template size 2">
    <vt:lpwstr>1</vt:lpwstr>
  </property>
  <property fmtid="{D5CDD505-2E9C-101B-9397-08002B2CF9AE}" pid="11" name="Notes">
    <vt:lpwstr/>
  </property>
  <property fmtid="{D5CDD505-2E9C-101B-9397-08002B2CF9AE}" pid="12" name="Corporate Function">
    <vt:lpwstr>1</vt:lpwstr>
  </property>
  <property fmtid="{D5CDD505-2E9C-101B-9397-08002B2CF9AE}" pid="13" name="Business Area">
    <vt:lpwstr>47</vt:lpwstr>
  </property>
  <property fmtid="{D5CDD505-2E9C-101B-9397-08002B2CF9AE}" pid="14" name="Template orientation0">
    <vt:lpwstr>2</vt:lpwstr>
  </property>
</Properties>
</file>