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DDD2" w14:textId="77777777" w:rsidR="000E0467" w:rsidRDefault="000E0467" w:rsidP="000E0467">
      <w:pPr>
        <w:pStyle w:val="UltraHeading"/>
        <w:ind w:left="709"/>
      </w:pPr>
    </w:p>
    <w:p w14:paraId="1201941A" w14:textId="77777777" w:rsidR="000E0467" w:rsidRDefault="000E0467" w:rsidP="000E0467">
      <w:pPr>
        <w:pStyle w:val="UltraHeading"/>
        <w:ind w:left="709"/>
      </w:pPr>
    </w:p>
    <w:p w14:paraId="224284A6" w14:textId="77777777" w:rsidR="000E0467" w:rsidRDefault="000E0467" w:rsidP="000E0467">
      <w:pPr>
        <w:pStyle w:val="UltraHeading"/>
        <w:ind w:left="709"/>
      </w:pPr>
    </w:p>
    <w:p w14:paraId="3544089B" w14:textId="740FDAE6" w:rsidR="000E0467" w:rsidRPr="00963720" w:rsidRDefault="00FF1155" w:rsidP="00FF1155">
      <w:pPr>
        <w:pStyle w:val="UltraHeading"/>
        <w:ind w:left="709"/>
      </w:pPr>
      <w:r>
        <w:t>Accessibility in procurement: Ensuring accessibility for people with disability guide</w:t>
      </w:r>
    </w:p>
    <w:p w14:paraId="3FCB0F22" w14:textId="77777777" w:rsidR="000E0467" w:rsidRDefault="000E0467">
      <w:pPr>
        <w:spacing w:after="0"/>
        <w:rPr>
          <w:rFonts w:ascii="Arial Black" w:eastAsia="MS Mincho" w:hAnsi="Arial Black" w:cs="Arial"/>
          <w:b/>
          <w:color w:val="05325F" w:themeColor="text2"/>
          <w:sz w:val="48"/>
          <w:szCs w:val="48"/>
          <w:lang w:val="en-GB"/>
        </w:rPr>
      </w:pPr>
      <w:r>
        <w:br w:type="page"/>
      </w:r>
    </w:p>
    <w:p w14:paraId="7E0B50F9" w14:textId="77777777" w:rsidR="00BF2C3B" w:rsidRDefault="00BF2C3B" w:rsidP="0096227C">
      <w:pPr>
        <w:rPr>
          <w:b/>
          <w:i/>
          <w:sz w:val="18"/>
        </w:rPr>
      </w:pPr>
    </w:p>
    <w:p w14:paraId="128E7C92" w14:textId="77777777" w:rsidR="00BF2C3B" w:rsidRDefault="00BF2C3B" w:rsidP="0096227C">
      <w:pPr>
        <w:rPr>
          <w:b/>
          <w:i/>
          <w:sz w:val="18"/>
        </w:rPr>
      </w:pPr>
    </w:p>
    <w:p w14:paraId="60DFD071" w14:textId="77777777" w:rsidR="00BF2C3B" w:rsidRDefault="00BF2C3B" w:rsidP="0096227C">
      <w:pPr>
        <w:rPr>
          <w:b/>
          <w:i/>
          <w:sz w:val="18"/>
        </w:rPr>
      </w:pPr>
    </w:p>
    <w:p w14:paraId="5F119C72" w14:textId="77777777" w:rsidR="00BF2C3B" w:rsidRDefault="00BF2C3B" w:rsidP="0096227C">
      <w:pPr>
        <w:rPr>
          <w:b/>
          <w:i/>
          <w:sz w:val="18"/>
        </w:rPr>
      </w:pPr>
    </w:p>
    <w:p w14:paraId="6F7B5DC4" w14:textId="77777777" w:rsidR="00BF2C3B" w:rsidRDefault="00BF2C3B" w:rsidP="0096227C">
      <w:pPr>
        <w:rPr>
          <w:b/>
          <w:i/>
          <w:sz w:val="18"/>
        </w:rPr>
      </w:pPr>
    </w:p>
    <w:p w14:paraId="3F964CC2" w14:textId="77777777" w:rsidR="00BF2C3B" w:rsidRDefault="00BF2C3B" w:rsidP="0096227C">
      <w:pPr>
        <w:rPr>
          <w:b/>
          <w:i/>
          <w:sz w:val="18"/>
        </w:rPr>
      </w:pPr>
    </w:p>
    <w:p w14:paraId="464EC191" w14:textId="77777777" w:rsidR="00BF2C3B" w:rsidRDefault="00BF2C3B" w:rsidP="0096227C">
      <w:pPr>
        <w:rPr>
          <w:b/>
          <w:i/>
          <w:sz w:val="18"/>
        </w:rPr>
      </w:pPr>
    </w:p>
    <w:p w14:paraId="7198D400" w14:textId="77777777" w:rsidR="00BF2C3B" w:rsidRDefault="00BF2C3B" w:rsidP="0096227C">
      <w:pPr>
        <w:rPr>
          <w:b/>
          <w:i/>
          <w:sz w:val="18"/>
        </w:rPr>
      </w:pPr>
    </w:p>
    <w:p w14:paraId="0B8CF075" w14:textId="77777777" w:rsidR="00BF2C3B" w:rsidRDefault="00BF2C3B" w:rsidP="0096227C">
      <w:pPr>
        <w:rPr>
          <w:b/>
          <w:i/>
          <w:sz w:val="18"/>
        </w:rPr>
      </w:pPr>
    </w:p>
    <w:p w14:paraId="1E7548A1" w14:textId="77777777" w:rsidR="00BF2C3B" w:rsidRDefault="00BF2C3B" w:rsidP="0096227C">
      <w:pPr>
        <w:rPr>
          <w:b/>
          <w:i/>
          <w:sz w:val="18"/>
        </w:rPr>
      </w:pPr>
    </w:p>
    <w:p w14:paraId="286C9588" w14:textId="77777777" w:rsidR="00BF2C3B" w:rsidRDefault="00BF2C3B" w:rsidP="0096227C">
      <w:pPr>
        <w:rPr>
          <w:b/>
          <w:i/>
          <w:sz w:val="18"/>
        </w:rPr>
      </w:pPr>
    </w:p>
    <w:p w14:paraId="751326BD" w14:textId="77777777" w:rsidR="00BF2C3B" w:rsidRDefault="00BF2C3B" w:rsidP="0096227C">
      <w:pPr>
        <w:rPr>
          <w:b/>
          <w:i/>
          <w:sz w:val="18"/>
        </w:rPr>
      </w:pPr>
    </w:p>
    <w:p w14:paraId="04E3AB11" w14:textId="77777777" w:rsidR="00BF2C3B" w:rsidRDefault="00BF2C3B" w:rsidP="0096227C">
      <w:pPr>
        <w:rPr>
          <w:b/>
          <w:i/>
          <w:sz w:val="18"/>
        </w:rPr>
      </w:pPr>
    </w:p>
    <w:p w14:paraId="34FB737A" w14:textId="77777777" w:rsidR="00BF2C3B" w:rsidRDefault="00BF2C3B" w:rsidP="0096227C">
      <w:pPr>
        <w:rPr>
          <w:b/>
          <w:i/>
          <w:sz w:val="18"/>
        </w:rPr>
      </w:pPr>
    </w:p>
    <w:p w14:paraId="0EC6B7DE" w14:textId="2D89E7D0" w:rsidR="00BF2C3B" w:rsidRDefault="00BF2C3B" w:rsidP="0096227C">
      <w:pPr>
        <w:rPr>
          <w:b/>
          <w:i/>
          <w:sz w:val="18"/>
        </w:rPr>
      </w:pPr>
      <w:r>
        <w:rPr>
          <w:b/>
          <w:i/>
          <w:sz w:val="18"/>
        </w:rPr>
        <w:t>Accessibility in procurement: Ensuring accessibility for people with disability guide</w:t>
      </w:r>
    </w:p>
    <w:tbl>
      <w:tblPr>
        <w:tblStyle w:val="TableGrid"/>
        <w:tblW w:w="5000" w:type="pct"/>
        <w:tblLook w:val="04A0" w:firstRow="1" w:lastRow="0" w:firstColumn="1" w:lastColumn="0" w:noHBand="0" w:noVBand="1"/>
      </w:tblPr>
      <w:tblGrid>
        <w:gridCol w:w="989"/>
        <w:gridCol w:w="1276"/>
        <w:gridCol w:w="8213"/>
      </w:tblGrid>
      <w:tr w:rsidR="00BF2C3B" w:rsidRPr="00BF2C3B" w14:paraId="07941B54" w14:textId="77777777" w:rsidTr="00BF2C3B">
        <w:tc>
          <w:tcPr>
            <w:tcW w:w="472" w:type="pct"/>
            <w:shd w:val="clear" w:color="auto" w:fill="05325F" w:themeFill="text2"/>
            <w:vAlign w:val="center"/>
            <w:hideMark/>
          </w:tcPr>
          <w:p w14:paraId="6698C112" w14:textId="77777777" w:rsidR="00BF2C3B" w:rsidRPr="00BF2C3B" w:rsidRDefault="00BF2C3B" w:rsidP="00BF2C3B">
            <w:pPr>
              <w:jc w:val="center"/>
              <w:rPr>
                <w:rFonts w:cs="Arial"/>
                <w:b/>
                <w:bCs/>
              </w:rPr>
            </w:pPr>
            <w:r w:rsidRPr="00BF2C3B">
              <w:rPr>
                <w:rFonts w:cs="Arial"/>
                <w:b/>
                <w:bCs/>
                <w:color w:val="FFFFFF" w:themeColor="background1"/>
              </w:rPr>
              <w:t>Version</w:t>
            </w:r>
          </w:p>
        </w:tc>
        <w:tc>
          <w:tcPr>
            <w:tcW w:w="609" w:type="pct"/>
            <w:shd w:val="clear" w:color="auto" w:fill="05325F" w:themeFill="text2"/>
            <w:vAlign w:val="center"/>
            <w:hideMark/>
          </w:tcPr>
          <w:p w14:paraId="0D33BF1C" w14:textId="77777777" w:rsidR="00BF2C3B" w:rsidRPr="00BF2C3B" w:rsidRDefault="00BF2C3B" w:rsidP="00BF2C3B">
            <w:pPr>
              <w:jc w:val="center"/>
              <w:rPr>
                <w:rFonts w:cs="Arial"/>
              </w:rPr>
            </w:pPr>
            <w:r w:rsidRPr="00BF2C3B">
              <w:rPr>
                <w:rFonts w:cs="Arial"/>
                <w:b/>
                <w:bCs/>
                <w:color w:val="FFFFFF" w:themeColor="background1"/>
              </w:rPr>
              <w:t>Date</w:t>
            </w:r>
          </w:p>
        </w:tc>
        <w:tc>
          <w:tcPr>
            <w:tcW w:w="3919" w:type="pct"/>
            <w:shd w:val="clear" w:color="auto" w:fill="05325F" w:themeFill="text2"/>
            <w:vAlign w:val="center"/>
            <w:hideMark/>
          </w:tcPr>
          <w:p w14:paraId="15375A69" w14:textId="77777777" w:rsidR="00BF2C3B" w:rsidRPr="00BF2C3B" w:rsidRDefault="00BF2C3B" w:rsidP="00BF2C3B">
            <w:pPr>
              <w:jc w:val="center"/>
              <w:rPr>
                <w:rFonts w:cs="Arial"/>
              </w:rPr>
            </w:pPr>
            <w:r w:rsidRPr="00BF2C3B">
              <w:rPr>
                <w:rFonts w:cs="Arial"/>
                <w:b/>
                <w:bCs/>
                <w:color w:val="FFFFFF" w:themeColor="background1"/>
              </w:rPr>
              <w:t>Comments</w:t>
            </w:r>
          </w:p>
        </w:tc>
      </w:tr>
      <w:tr w:rsidR="00BF2C3B" w:rsidRPr="00BF2C3B" w14:paraId="28640F83" w14:textId="77777777" w:rsidTr="00BF2C3B">
        <w:tc>
          <w:tcPr>
            <w:tcW w:w="472" w:type="pct"/>
          </w:tcPr>
          <w:p w14:paraId="57E92D4C" w14:textId="5CF3E2A4" w:rsidR="00BF2C3B" w:rsidRPr="00BF2C3B" w:rsidRDefault="00BF2C3B" w:rsidP="00BF2C3B">
            <w:pPr>
              <w:rPr>
                <w:rFonts w:cs="Arial"/>
                <w:sz w:val="16"/>
                <w:szCs w:val="16"/>
              </w:rPr>
            </w:pPr>
            <w:r w:rsidRPr="00BF2C3B">
              <w:rPr>
                <w:sz w:val="16"/>
                <w:szCs w:val="16"/>
              </w:rPr>
              <w:t>v1.0</w:t>
            </w:r>
          </w:p>
        </w:tc>
        <w:tc>
          <w:tcPr>
            <w:tcW w:w="609" w:type="pct"/>
          </w:tcPr>
          <w:p w14:paraId="277B96E6" w14:textId="2E173B96" w:rsidR="00BF2C3B" w:rsidRPr="00BF2C3B" w:rsidRDefault="00BF2C3B" w:rsidP="00BF2C3B">
            <w:pPr>
              <w:rPr>
                <w:rFonts w:cs="Arial"/>
                <w:sz w:val="16"/>
                <w:szCs w:val="16"/>
                <w:highlight w:val="yellow"/>
              </w:rPr>
            </w:pPr>
            <w:r w:rsidRPr="00BF2C3B">
              <w:rPr>
                <w:sz w:val="16"/>
                <w:szCs w:val="16"/>
              </w:rPr>
              <w:t>September 2019</w:t>
            </w:r>
          </w:p>
        </w:tc>
        <w:tc>
          <w:tcPr>
            <w:tcW w:w="3919" w:type="pct"/>
          </w:tcPr>
          <w:p w14:paraId="4B58CAAC" w14:textId="0F92984E" w:rsidR="00BF2C3B" w:rsidRPr="00BF2C3B" w:rsidRDefault="00BF2C3B" w:rsidP="00BF2C3B">
            <w:pPr>
              <w:rPr>
                <w:rFonts w:cs="Arial"/>
                <w:sz w:val="16"/>
                <w:szCs w:val="16"/>
              </w:rPr>
            </w:pPr>
            <w:r w:rsidRPr="00BF2C3B">
              <w:rPr>
                <w:sz w:val="16"/>
                <w:szCs w:val="16"/>
              </w:rPr>
              <w:t>Published</w:t>
            </w:r>
          </w:p>
        </w:tc>
      </w:tr>
      <w:tr w:rsidR="00BF2C3B" w:rsidRPr="00BF2C3B" w14:paraId="529F3F0A" w14:textId="77777777" w:rsidTr="00BF2C3B">
        <w:tc>
          <w:tcPr>
            <w:tcW w:w="472" w:type="pct"/>
          </w:tcPr>
          <w:p w14:paraId="21B3E511" w14:textId="48CF75AE" w:rsidR="00BF2C3B" w:rsidRPr="00BF2C3B" w:rsidRDefault="00BF2C3B" w:rsidP="00BF2C3B">
            <w:pPr>
              <w:rPr>
                <w:rFonts w:cs="Arial"/>
                <w:sz w:val="16"/>
                <w:szCs w:val="16"/>
              </w:rPr>
            </w:pPr>
            <w:r>
              <w:rPr>
                <w:rFonts w:cs="Arial"/>
                <w:sz w:val="16"/>
                <w:szCs w:val="16"/>
              </w:rPr>
              <w:t>v1.1</w:t>
            </w:r>
          </w:p>
        </w:tc>
        <w:tc>
          <w:tcPr>
            <w:tcW w:w="609" w:type="pct"/>
          </w:tcPr>
          <w:p w14:paraId="0D6773CD" w14:textId="6429180E" w:rsidR="00BF2C3B" w:rsidRPr="00BF2C3B" w:rsidRDefault="00BF2C3B" w:rsidP="00BF2C3B">
            <w:pPr>
              <w:rPr>
                <w:rFonts w:cs="Arial"/>
                <w:sz w:val="16"/>
                <w:szCs w:val="16"/>
              </w:rPr>
            </w:pPr>
            <w:r>
              <w:rPr>
                <w:rFonts w:cs="Arial"/>
                <w:sz w:val="16"/>
                <w:szCs w:val="16"/>
              </w:rPr>
              <w:t>July 2025</w:t>
            </w:r>
          </w:p>
        </w:tc>
        <w:tc>
          <w:tcPr>
            <w:tcW w:w="3919" w:type="pct"/>
          </w:tcPr>
          <w:p w14:paraId="52820EF4" w14:textId="77777777" w:rsidR="00BF2C3B" w:rsidRDefault="00BF2C3B" w:rsidP="00BF2C3B">
            <w:pPr>
              <w:rPr>
                <w:rFonts w:cs="Arial"/>
                <w:sz w:val="16"/>
                <w:szCs w:val="16"/>
              </w:rPr>
            </w:pPr>
            <w:r>
              <w:rPr>
                <w:rFonts w:cs="Arial"/>
                <w:sz w:val="16"/>
                <w:szCs w:val="16"/>
              </w:rPr>
              <w:t>Minor updates made – highlights:</w:t>
            </w:r>
          </w:p>
          <w:p w14:paraId="62848DBD"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DHPW corporate branding</w:t>
            </w:r>
          </w:p>
          <w:p w14:paraId="123E8978"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Machinery-of-government changes</w:t>
            </w:r>
          </w:p>
          <w:p w14:paraId="042C7319"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Hyperlinks verified and updated or removed</w:t>
            </w:r>
          </w:p>
          <w:p w14:paraId="384849E5"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Document date updated</w:t>
            </w:r>
          </w:p>
          <w:p w14:paraId="4847986E"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New version history log and ‘Administration’ section added</w:t>
            </w:r>
          </w:p>
          <w:p w14:paraId="3D4A91EC" w14:textId="77777777" w:rsidR="00BF2C3B" w:rsidRDefault="00BF2C3B" w:rsidP="00BF2C3B">
            <w:pPr>
              <w:pStyle w:val="ListParagraph"/>
              <w:numPr>
                <w:ilvl w:val="0"/>
                <w:numId w:val="16"/>
              </w:numPr>
              <w:tabs>
                <w:tab w:val="clear" w:pos="2835"/>
              </w:tabs>
              <w:spacing w:after="0"/>
              <w:rPr>
                <w:rFonts w:cs="Arial"/>
                <w:sz w:val="16"/>
                <w:szCs w:val="16"/>
              </w:rPr>
            </w:pPr>
            <w:r>
              <w:rPr>
                <w:rFonts w:cs="Arial"/>
                <w:sz w:val="16"/>
                <w:szCs w:val="16"/>
              </w:rPr>
              <w:t>Document title</w:t>
            </w:r>
          </w:p>
          <w:p w14:paraId="1622DDAF" w14:textId="07575AFF" w:rsidR="00BF2C3B" w:rsidRPr="00BF2C3B" w:rsidRDefault="00BF2C3B" w:rsidP="00BF2C3B">
            <w:pPr>
              <w:pStyle w:val="ListParagraph"/>
              <w:numPr>
                <w:ilvl w:val="0"/>
                <w:numId w:val="16"/>
              </w:numPr>
              <w:tabs>
                <w:tab w:val="clear" w:pos="2835"/>
              </w:tabs>
              <w:spacing w:after="0"/>
              <w:rPr>
                <w:rFonts w:cs="Arial"/>
                <w:sz w:val="16"/>
                <w:szCs w:val="16"/>
              </w:rPr>
            </w:pPr>
            <w:r w:rsidRPr="00BF2C3B">
              <w:rPr>
                <w:rFonts w:cs="Arial"/>
                <w:sz w:val="16"/>
                <w:szCs w:val="16"/>
              </w:rPr>
              <w:t>Removed contextual policy information</w:t>
            </w:r>
          </w:p>
        </w:tc>
      </w:tr>
      <w:tr w:rsidR="00BF2C3B" w:rsidRPr="00BF2C3B" w14:paraId="7A25DD1B" w14:textId="77777777" w:rsidTr="00BF2C3B">
        <w:tc>
          <w:tcPr>
            <w:tcW w:w="472" w:type="pct"/>
          </w:tcPr>
          <w:p w14:paraId="74228BA5" w14:textId="14717070" w:rsidR="00BF2C3B" w:rsidRPr="00BF2C3B" w:rsidRDefault="00BF2C3B" w:rsidP="00BF2C3B">
            <w:pPr>
              <w:rPr>
                <w:rFonts w:cs="Arial"/>
                <w:sz w:val="16"/>
                <w:szCs w:val="16"/>
              </w:rPr>
            </w:pPr>
            <w:r>
              <w:rPr>
                <w:rFonts w:cs="Arial"/>
                <w:sz w:val="16"/>
                <w:szCs w:val="16"/>
              </w:rPr>
              <w:t>v2.0</w:t>
            </w:r>
          </w:p>
        </w:tc>
        <w:tc>
          <w:tcPr>
            <w:tcW w:w="609" w:type="pct"/>
          </w:tcPr>
          <w:p w14:paraId="6C54225D" w14:textId="157F779F" w:rsidR="00BF2C3B" w:rsidRPr="00BF2C3B" w:rsidRDefault="00373316" w:rsidP="00BF2C3B">
            <w:pPr>
              <w:rPr>
                <w:rFonts w:cs="Arial"/>
                <w:sz w:val="16"/>
                <w:szCs w:val="16"/>
                <w:highlight w:val="yellow"/>
              </w:rPr>
            </w:pPr>
            <w:r w:rsidRPr="00373316">
              <w:rPr>
                <w:rFonts w:cs="Arial"/>
                <w:sz w:val="16"/>
                <w:szCs w:val="16"/>
              </w:rPr>
              <w:t>May 2026</w:t>
            </w:r>
          </w:p>
        </w:tc>
        <w:tc>
          <w:tcPr>
            <w:tcW w:w="3919" w:type="pct"/>
          </w:tcPr>
          <w:p w14:paraId="589147E0" w14:textId="77777777" w:rsidR="00BF2C3B" w:rsidRDefault="00BF2C3B" w:rsidP="00BF2C3B">
            <w:pPr>
              <w:rPr>
                <w:rFonts w:cs="Arial"/>
                <w:sz w:val="16"/>
                <w:szCs w:val="16"/>
              </w:rPr>
            </w:pPr>
            <w:r>
              <w:rPr>
                <w:rFonts w:cs="Arial"/>
                <w:sz w:val="16"/>
                <w:szCs w:val="16"/>
              </w:rPr>
              <w:t>Updates made – highlights:</w:t>
            </w:r>
          </w:p>
          <w:p w14:paraId="0FAA11C5" w14:textId="77777777" w:rsidR="0022510C" w:rsidRPr="0022510C" w:rsidRDefault="0022510C" w:rsidP="00BF2C3B">
            <w:pPr>
              <w:pStyle w:val="ListParagraph"/>
              <w:numPr>
                <w:ilvl w:val="0"/>
                <w:numId w:val="17"/>
              </w:numPr>
              <w:tabs>
                <w:tab w:val="clear" w:pos="2835"/>
              </w:tabs>
              <w:spacing w:after="0"/>
              <w:rPr>
                <w:rFonts w:cs="Arial"/>
                <w:sz w:val="16"/>
                <w:szCs w:val="16"/>
              </w:rPr>
            </w:pPr>
            <w:r>
              <w:rPr>
                <w:rFonts w:cs="Arial"/>
                <w:sz w:val="16"/>
                <w:szCs w:val="16"/>
              </w:rPr>
              <w:t>A</w:t>
            </w:r>
            <w:r w:rsidR="00487D7D">
              <w:rPr>
                <w:rFonts w:cs="Arial"/>
                <w:sz w:val="16"/>
                <w:szCs w:val="16"/>
              </w:rPr>
              <w:t>lign</w:t>
            </w:r>
            <w:r>
              <w:rPr>
                <w:rFonts w:cs="Arial"/>
                <w:sz w:val="16"/>
                <w:szCs w:val="16"/>
              </w:rPr>
              <w:t>ment</w:t>
            </w:r>
            <w:r w:rsidR="00487D7D">
              <w:rPr>
                <w:rFonts w:cs="Arial"/>
                <w:sz w:val="16"/>
                <w:szCs w:val="16"/>
              </w:rPr>
              <w:t xml:space="preserve"> with </w:t>
            </w:r>
            <w:r w:rsidR="00487D7D" w:rsidRPr="008F11B6">
              <w:rPr>
                <w:rFonts w:cs="Arial"/>
                <w:i/>
                <w:iCs/>
                <w:sz w:val="16"/>
                <w:szCs w:val="16"/>
              </w:rPr>
              <w:t>Queensland Procurement Policy 2026</w:t>
            </w:r>
          </w:p>
          <w:p w14:paraId="6E314DE2" w14:textId="2A5A21F5" w:rsidR="00BF2C3B" w:rsidRDefault="0061270D" w:rsidP="00BF2C3B">
            <w:pPr>
              <w:pStyle w:val="ListParagraph"/>
              <w:numPr>
                <w:ilvl w:val="0"/>
                <w:numId w:val="17"/>
              </w:numPr>
              <w:tabs>
                <w:tab w:val="clear" w:pos="2835"/>
              </w:tabs>
              <w:spacing w:after="0"/>
              <w:rPr>
                <w:rFonts w:cs="Arial"/>
                <w:sz w:val="16"/>
                <w:szCs w:val="16"/>
              </w:rPr>
            </w:pPr>
            <w:r>
              <w:rPr>
                <w:rFonts w:cs="Arial"/>
                <w:sz w:val="16"/>
                <w:szCs w:val="16"/>
              </w:rPr>
              <w:t xml:space="preserve">Improved clarity, reduced duplication and accounting for agency-specific procurement practices and better </w:t>
            </w:r>
            <w:proofErr w:type="gramStart"/>
            <w:r>
              <w:rPr>
                <w:rFonts w:cs="Arial"/>
                <w:sz w:val="16"/>
                <w:szCs w:val="16"/>
              </w:rPr>
              <w:t>practice</w:t>
            </w:r>
            <w:proofErr w:type="gramEnd"/>
          </w:p>
          <w:p w14:paraId="72B73980" w14:textId="24EE8A03" w:rsidR="00BF2C3B" w:rsidRPr="00BF2C3B" w:rsidRDefault="00BF2C3B" w:rsidP="00BF2C3B">
            <w:pPr>
              <w:pStyle w:val="ListParagraph"/>
              <w:numPr>
                <w:ilvl w:val="0"/>
                <w:numId w:val="17"/>
              </w:numPr>
              <w:tabs>
                <w:tab w:val="clear" w:pos="2835"/>
              </w:tabs>
              <w:spacing w:after="0"/>
              <w:rPr>
                <w:rFonts w:cs="Arial"/>
                <w:sz w:val="16"/>
                <w:szCs w:val="16"/>
              </w:rPr>
            </w:pPr>
            <w:r w:rsidRPr="00BF2C3B">
              <w:rPr>
                <w:rFonts w:cs="Arial"/>
                <w:sz w:val="16"/>
                <w:szCs w:val="16"/>
              </w:rPr>
              <w:t>Document title</w:t>
            </w:r>
          </w:p>
        </w:tc>
      </w:tr>
    </w:tbl>
    <w:p w14:paraId="7D2CF075" w14:textId="77777777" w:rsidR="00BF2C3B" w:rsidRDefault="00BF2C3B" w:rsidP="0096227C">
      <w:pPr>
        <w:rPr>
          <w:b/>
          <w:sz w:val="18"/>
        </w:rPr>
      </w:pPr>
    </w:p>
    <w:p w14:paraId="4011A560" w14:textId="178C7885" w:rsidR="00BF2C3B" w:rsidRPr="0039469C" w:rsidRDefault="00BF2C3B" w:rsidP="0096227C">
      <w:pPr>
        <w:rPr>
          <w:b/>
          <w:sz w:val="18"/>
        </w:rPr>
      </w:pPr>
      <w:r w:rsidRPr="0039469C">
        <w:rPr>
          <w:b/>
          <w:sz w:val="18"/>
        </w:rPr>
        <w:t xml:space="preserve">The State of Queensland (Department of Housing and Public Works) </w:t>
      </w:r>
      <w:r w:rsidRPr="00373316">
        <w:rPr>
          <w:b/>
          <w:sz w:val="18"/>
        </w:rPr>
        <w:t>2026.</w:t>
      </w:r>
      <w:r w:rsidRPr="0039469C">
        <w:rPr>
          <w:b/>
          <w:sz w:val="18"/>
        </w:rPr>
        <w:t xml:space="preserve"> </w:t>
      </w:r>
    </w:p>
    <w:p w14:paraId="00022ADF" w14:textId="77777777" w:rsidR="00BF2C3B" w:rsidRDefault="00BF2C3B" w:rsidP="0096227C">
      <w:pPr>
        <w:rPr>
          <w:sz w:val="18"/>
        </w:rPr>
      </w:pPr>
      <w:r w:rsidRPr="00850C98">
        <w:rPr>
          <w:noProof/>
          <w:sz w:val="18"/>
          <w:lang w:eastAsia="en-AU"/>
        </w:rPr>
        <w:drawing>
          <wp:inline distT="0" distB="0" distL="0" distR="0" wp14:anchorId="70CAFEBC" wp14:editId="369B5594">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6E335C10" w14:textId="77777777" w:rsidR="00BF2C3B" w:rsidRPr="0039469C" w:rsidRDefault="00BF2C3B" w:rsidP="0096227C">
      <w:pPr>
        <w:rPr>
          <w:sz w:val="18"/>
        </w:rPr>
      </w:pPr>
      <w:hyperlink r:id="rId12" w:history="1">
        <w:r w:rsidRPr="00391D13">
          <w:rPr>
            <w:rStyle w:val="Hyperlink"/>
            <w:sz w:val="18"/>
          </w:rPr>
          <w:t>http://creativecommons.org/licenses/by/4.0/deed.en</w:t>
        </w:r>
      </w:hyperlink>
      <w:r>
        <w:rPr>
          <w:sz w:val="18"/>
        </w:rPr>
        <w:t xml:space="preserve"> </w:t>
      </w:r>
    </w:p>
    <w:p w14:paraId="435FD4B7" w14:textId="0A579532" w:rsidR="00BF2C3B" w:rsidRPr="0039469C" w:rsidRDefault="00BF2C3B" w:rsidP="0096227C">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Accessibility in procurement: Ensuring accessibility for people with disability guide</w:t>
      </w:r>
      <w:r w:rsidRPr="0039469C">
        <w:rPr>
          <w:sz w:val="18"/>
        </w:rPr>
        <w:t xml:space="preserve">, State of Queensland (Department of Housing and Public </w:t>
      </w:r>
      <w:r w:rsidRPr="00373316">
        <w:rPr>
          <w:sz w:val="18"/>
        </w:rPr>
        <w:t>Works) 2026’.</w:t>
      </w:r>
      <w:r w:rsidRPr="0039469C">
        <w:rPr>
          <w:sz w:val="18"/>
        </w:rPr>
        <w:t xml:space="preserve"> </w:t>
      </w:r>
    </w:p>
    <w:p w14:paraId="4E703E55" w14:textId="77777777" w:rsidR="00BF2C3B" w:rsidRPr="0039469C" w:rsidRDefault="00BF2C3B" w:rsidP="0096227C">
      <w:pPr>
        <w:rPr>
          <w:b/>
          <w:sz w:val="18"/>
        </w:rPr>
      </w:pPr>
      <w:r w:rsidRPr="0039469C">
        <w:rPr>
          <w:b/>
          <w:sz w:val="18"/>
        </w:rPr>
        <w:t xml:space="preserve">Contact us </w:t>
      </w:r>
    </w:p>
    <w:p w14:paraId="43141227" w14:textId="77777777" w:rsidR="00BF2C3B" w:rsidRPr="0039469C" w:rsidRDefault="00BF2C3B" w:rsidP="0096227C">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740942BF" w14:textId="77777777" w:rsidR="00BF2C3B" w:rsidRPr="0039469C" w:rsidRDefault="00BF2C3B" w:rsidP="0096227C">
      <w:pPr>
        <w:rPr>
          <w:b/>
          <w:sz w:val="18"/>
        </w:rPr>
      </w:pPr>
      <w:r w:rsidRPr="0039469C">
        <w:rPr>
          <w:b/>
          <w:sz w:val="18"/>
        </w:rPr>
        <w:t xml:space="preserve">Disclaimer </w:t>
      </w:r>
    </w:p>
    <w:p w14:paraId="22529EC3" w14:textId="77777777" w:rsidR="00BF2C3B" w:rsidRPr="0039469C" w:rsidRDefault="00BF2C3B" w:rsidP="0096227C">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56A15E9A" w14:textId="77777777" w:rsidR="00BF2C3B" w:rsidRDefault="00BF2C3B" w:rsidP="0096227C">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07B729E4" w14:textId="77777777" w:rsidR="00BF2C3B" w:rsidRPr="00F471EC" w:rsidRDefault="00BF2C3B" w:rsidP="0096227C">
      <w:pPr>
        <w:rPr>
          <w:b/>
          <w:bCs/>
          <w:sz w:val="18"/>
        </w:rPr>
      </w:pPr>
      <w:r w:rsidRPr="00F471EC">
        <w:rPr>
          <w:b/>
          <w:bCs/>
          <w:sz w:val="18"/>
        </w:rPr>
        <w:t>Administration</w:t>
      </w:r>
    </w:p>
    <w:p w14:paraId="5149806F" w14:textId="18F037A6" w:rsidR="00BF2C3B" w:rsidRDefault="00BF2C3B" w:rsidP="00BF2C3B">
      <w:pPr>
        <w:rPr>
          <w:sz w:val="18"/>
        </w:rPr>
      </w:pPr>
      <w:r>
        <w:rPr>
          <w:sz w:val="18"/>
        </w:rPr>
        <w:t>Version 2.0 of this document replaces all previous versions of this document and takes effect immediately.</w:t>
      </w:r>
    </w:p>
    <w:sdt>
      <w:sdtPr>
        <w:rPr>
          <w:rFonts w:ascii="Arial" w:eastAsiaTheme="minorEastAsia" w:hAnsi="Arial" w:cstheme="minorBidi"/>
          <w:color w:val="auto"/>
          <w:sz w:val="20"/>
          <w:szCs w:val="20"/>
          <w:lang w:val="en-AU"/>
        </w:rPr>
        <w:id w:val="-364911724"/>
        <w:docPartObj>
          <w:docPartGallery w:val="Table of Contents"/>
          <w:docPartUnique/>
        </w:docPartObj>
      </w:sdtPr>
      <w:sdtEndPr>
        <w:rPr>
          <w:b/>
          <w:bCs/>
          <w:noProof/>
        </w:rPr>
      </w:sdtEndPr>
      <w:sdtContent>
        <w:p w14:paraId="0BD11258" w14:textId="77777777" w:rsidR="00BF2C3B" w:rsidRPr="00BF2C3B" w:rsidRDefault="00BF2C3B" w:rsidP="001666F6">
          <w:pPr>
            <w:pStyle w:val="TOCHeading"/>
            <w:rPr>
              <w:rStyle w:val="Heading1Char"/>
            </w:rPr>
          </w:pPr>
          <w:r w:rsidRPr="00BF2C3B">
            <w:rPr>
              <w:rStyle w:val="Heading1Char"/>
            </w:rPr>
            <w:t>Table of Contents</w:t>
          </w:r>
        </w:p>
        <w:p w14:paraId="26724359" w14:textId="59B319D2" w:rsidR="00F95A0F" w:rsidRDefault="00BF2C3B">
          <w:pPr>
            <w:pStyle w:val="TOC1"/>
            <w:tabs>
              <w:tab w:val="right" w:leader="dot" w:pos="10478"/>
            </w:tabs>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28868633" w:history="1">
            <w:r w:rsidR="00F95A0F" w:rsidRPr="00604F9B">
              <w:rPr>
                <w:rStyle w:val="Hyperlink"/>
                <w:noProof/>
              </w:rPr>
              <w:t>Purpose</w:t>
            </w:r>
            <w:r w:rsidR="00F95A0F">
              <w:rPr>
                <w:noProof/>
                <w:webHidden/>
              </w:rPr>
              <w:tab/>
            </w:r>
            <w:r w:rsidR="00F95A0F">
              <w:rPr>
                <w:noProof/>
                <w:webHidden/>
              </w:rPr>
              <w:fldChar w:fldCharType="begin"/>
            </w:r>
            <w:r w:rsidR="00F95A0F">
              <w:rPr>
                <w:noProof/>
                <w:webHidden/>
              </w:rPr>
              <w:instrText xml:space="preserve"> PAGEREF _Toc228868633 \h </w:instrText>
            </w:r>
            <w:r w:rsidR="00F95A0F">
              <w:rPr>
                <w:noProof/>
                <w:webHidden/>
              </w:rPr>
            </w:r>
            <w:r w:rsidR="00F95A0F">
              <w:rPr>
                <w:noProof/>
                <w:webHidden/>
              </w:rPr>
              <w:fldChar w:fldCharType="separate"/>
            </w:r>
            <w:r w:rsidR="000818C1">
              <w:rPr>
                <w:noProof/>
                <w:webHidden/>
              </w:rPr>
              <w:t>4</w:t>
            </w:r>
            <w:r w:rsidR="00F95A0F">
              <w:rPr>
                <w:noProof/>
                <w:webHidden/>
              </w:rPr>
              <w:fldChar w:fldCharType="end"/>
            </w:r>
          </w:hyperlink>
        </w:p>
        <w:p w14:paraId="088E85FA" w14:textId="305F5494"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34" w:history="1">
            <w:r w:rsidRPr="00604F9B">
              <w:rPr>
                <w:rStyle w:val="Hyperlink"/>
                <w:noProof/>
              </w:rPr>
              <w:t>How to use this guide</w:t>
            </w:r>
            <w:r>
              <w:rPr>
                <w:noProof/>
                <w:webHidden/>
              </w:rPr>
              <w:tab/>
            </w:r>
            <w:r>
              <w:rPr>
                <w:noProof/>
                <w:webHidden/>
              </w:rPr>
              <w:fldChar w:fldCharType="begin"/>
            </w:r>
            <w:r>
              <w:rPr>
                <w:noProof/>
                <w:webHidden/>
              </w:rPr>
              <w:instrText xml:space="preserve"> PAGEREF _Toc228868634 \h </w:instrText>
            </w:r>
            <w:r>
              <w:rPr>
                <w:noProof/>
                <w:webHidden/>
              </w:rPr>
            </w:r>
            <w:r>
              <w:rPr>
                <w:noProof/>
                <w:webHidden/>
              </w:rPr>
              <w:fldChar w:fldCharType="separate"/>
            </w:r>
            <w:r w:rsidR="000818C1">
              <w:rPr>
                <w:noProof/>
                <w:webHidden/>
              </w:rPr>
              <w:t>4</w:t>
            </w:r>
            <w:r>
              <w:rPr>
                <w:noProof/>
                <w:webHidden/>
              </w:rPr>
              <w:fldChar w:fldCharType="end"/>
            </w:r>
          </w:hyperlink>
        </w:p>
        <w:p w14:paraId="5EB676B9" w14:textId="2D0D414C"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35" w:history="1">
            <w:r w:rsidRPr="00604F9B">
              <w:rPr>
                <w:rStyle w:val="Hyperlink"/>
                <w:noProof/>
              </w:rPr>
              <w:t>Introduction</w:t>
            </w:r>
            <w:r>
              <w:rPr>
                <w:noProof/>
                <w:webHidden/>
              </w:rPr>
              <w:tab/>
            </w:r>
            <w:r>
              <w:rPr>
                <w:noProof/>
                <w:webHidden/>
              </w:rPr>
              <w:fldChar w:fldCharType="begin"/>
            </w:r>
            <w:r>
              <w:rPr>
                <w:noProof/>
                <w:webHidden/>
              </w:rPr>
              <w:instrText xml:space="preserve"> PAGEREF _Toc228868635 \h </w:instrText>
            </w:r>
            <w:r>
              <w:rPr>
                <w:noProof/>
                <w:webHidden/>
              </w:rPr>
            </w:r>
            <w:r>
              <w:rPr>
                <w:noProof/>
                <w:webHidden/>
              </w:rPr>
              <w:fldChar w:fldCharType="separate"/>
            </w:r>
            <w:r w:rsidR="000818C1">
              <w:rPr>
                <w:noProof/>
                <w:webHidden/>
              </w:rPr>
              <w:t>4</w:t>
            </w:r>
            <w:r>
              <w:rPr>
                <w:noProof/>
                <w:webHidden/>
              </w:rPr>
              <w:fldChar w:fldCharType="end"/>
            </w:r>
          </w:hyperlink>
        </w:p>
        <w:p w14:paraId="18F58C2C" w14:textId="33FA7877"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36" w:history="1">
            <w:r w:rsidRPr="00604F9B">
              <w:rPr>
                <w:rStyle w:val="Hyperlink"/>
                <w:noProof/>
              </w:rPr>
              <w:t>Disability discrimination</w:t>
            </w:r>
            <w:r>
              <w:rPr>
                <w:noProof/>
                <w:webHidden/>
              </w:rPr>
              <w:tab/>
            </w:r>
            <w:r>
              <w:rPr>
                <w:noProof/>
                <w:webHidden/>
              </w:rPr>
              <w:fldChar w:fldCharType="begin"/>
            </w:r>
            <w:r>
              <w:rPr>
                <w:noProof/>
                <w:webHidden/>
              </w:rPr>
              <w:instrText xml:space="preserve"> PAGEREF _Toc228868636 \h </w:instrText>
            </w:r>
            <w:r>
              <w:rPr>
                <w:noProof/>
                <w:webHidden/>
              </w:rPr>
            </w:r>
            <w:r>
              <w:rPr>
                <w:noProof/>
                <w:webHidden/>
              </w:rPr>
              <w:fldChar w:fldCharType="separate"/>
            </w:r>
            <w:r w:rsidR="000818C1">
              <w:rPr>
                <w:noProof/>
                <w:webHidden/>
              </w:rPr>
              <w:t>4</w:t>
            </w:r>
            <w:r>
              <w:rPr>
                <w:noProof/>
                <w:webHidden/>
              </w:rPr>
              <w:fldChar w:fldCharType="end"/>
            </w:r>
          </w:hyperlink>
        </w:p>
        <w:p w14:paraId="1F0F3C38" w14:textId="468342CC"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37" w:history="1">
            <w:r w:rsidRPr="00604F9B">
              <w:rPr>
                <w:rStyle w:val="Hyperlink"/>
                <w:noProof/>
              </w:rPr>
              <w:t>Commitment to ensuring accessibility in procurement</w:t>
            </w:r>
            <w:r>
              <w:rPr>
                <w:noProof/>
                <w:webHidden/>
              </w:rPr>
              <w:tab/>
            </w:r>
            <w:r>
              <w:rPr>
                <w:noProof/>
                <w:webHidden/>
              </w:rPr>
              <w:fldChar w:fldCharType="begin"/>
            </w:r>
            <w:r>
              <w:rPr>
                <w:noProof/>
                <w:webHidden/>
              </w:rPr>
              <w:instrText xml:space="preserve"> PAGEREF _Toc228868637 \h </w:instrText>
            </w:r>
            <w:r>
              <w:rPr>
                <w:noProof/>
                <w:webHidden/>
              </w:rPr>
            </w:r>
            <w:r>
              <w:rPr>
                <w:noProof/>
                <w:webHidden/>
              </w:rPr>
              <w:fldChar w:fldCharType="separate"/>
            </w:r>
            <w:r w:rsidR="000818C1">
              <w:rPr>
                <w:noProof/>
                <w:webHidden/>
              </w:rPr>
              <w:t>4</w:t>
            </w:r>
            <w:r>
              <w:rPr>
                <w:noProof/>
                <w:webHidden/>
              </w:rPr>
              <w:fldChar w:fldCharType="end"/>
            </w:r>
          </w:hyperlink>
        </w:p>
        <w:p w14:paraId="2685E7B8" w14:textId="6CC4C26A"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38" w:history="1">
            <w:r w:rsidRPr="00604F9B">
              <w:rPr>
                <w:rStyle w:val="Hyperlink"/>
                <w:noProof/>
              </w:rPr>
              <w:t>Process summary</w:t>
            </w:r>
            <w:r>
              <w:rPr>
                <w:noProof/>
                <w:webHidden/>
              </w:rPr>
              <w:tab/>
            </w:r>
            <w:r>
              <w:rPr>
                <w:noProof/>
                <w:webHidden/>
              </w:rPr>
              <w:fldChar w:fldCharType="begin"/>
            </w:r>
            <w:r>
              <w:rPr>
                <w:noProof/>
                <w:webHidden/>
              </w:rPr>
              <w:instrText xml:space="preserve"> PAGEREF _Toc228868638 \h </w:instrText>
            </w:r>
            <w:r>
              <w:rPr>
                <w:noProof/>
                <w:webHidden/>
              </w:rPr>
            </w:r>
            <w:r>
              <w:rPr>
                <w:noProof/>
                <w:webHidden/>
              </w:rPr>
              <w:fldChar w:fldCharType="separate"/>
            </w:r>
            <w:r w:rsidR="000818C1">
              <w:rPr>
                <w:noProof/>
                <w:webHidden/>
              </w:rPr>
              <w:t>5</w:t>
            </w:r>
            <w:r>
              <w:rPr>
                <w:noProof/>
                <w:webHidden/>
              </w:rPr>
              <w:fldChar w:fldCharType="end"/>
            </w:r>
          </w:hyperlink>
        </w:p>
        <w:p w14:paraId="7A173A3C" w14:textId="24E00FC4"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39" w:history="1">
            <w:r w:rsidRPr="00604F9B">
              <w:rPr>
                <w:rStyle w:val="Hyperlink"/>
                <w:noProof/>
              </w:rPr>
              <w:t>Incorporating accessibility considerations in procurement</w:t>
            </w:r>
            <w:r>
              <w:rPr>
                <w:noProof/>
                <w:webHidden/>
              </w:rPr>
              <w:tab/>
            </w:r>
            <w:r>
              <w:rPr>
                <w:noProof/>
                <w:webHidden/>
              </w:rPr>
              <w:fldChar w:fldCharType="begin"/>
            </w:r>
            <w:r>
              <w:rPr>
                <w:noProof/>
                <w:webHidden/>
              </w:rPr>
              <w:instrText xml:space="preserve"> PAGEREF _Toc228868639 \h </w:instrText>
            </w:r>
            <w:r>
              <w:rPr>
                <w:noProof/>
                <w:webHidden/>
              </w:rPr>
            </w:r>
            <w:r>
              <w:rPr>
                <w:noProof/>
                <w:webHidden/>
              </w:rPr>
              <w:fldChar w:fldCharType="separate"/>
            </w:r>
            <w:r w:rsidR="000818C1">
              <w:rPr>
                <w:noProof/>
                <w:webHidden/>
              </w:rPr>
              <w:t>6</w:t>
            </w:r>
            <w:r>
              <w:rPr>
                <w:noProof/>
                <w:webHidden/>
              </w:rPr>
              <w:fldChar w:fldCharType="end"/>
            </w:r>
          </w:hyperlink>
        </w:p>
        <w:p w14:paraId="6821F912" w14:textId="4867D264"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40" w:history="1">
            <w:r w:rsidRPr="00604F9B">
              <w:rPr>
                <w:rStyle w:val="Hyperlink"/>
                <w:noProof/>
              </w:rPr>
              <w:t>1. Accessibility principles</w:t>
            </w:r>
            <w:r>
              <w:rPr>
                <w:noProof/>
                <w:webHidden/>
              </w:rPr>
              <w:tab/>
            </w:r>
            <w:r>
              <w:rPr>
                <w:noProof/>
                <w:webHidden/>
              </w:rPr>
              <w:fldChar w:fldCharType="begin"/>
            </w:r>
            <w:r>
              <w:rPr>
                <w:noProof/>
                <w:webHidden/>
              </w:rPr>
              <w:instrText xml:space="preserve"> PAGEREF _Toc228868640 \h </w:instrText>
            </w:r>
            <w:r>
              <w:rPr>
                <w:noProof/>
                <w:webHidden/>
              </w:rPr>
            </w:r>
            <w:r>
              <w:rPr>
                <w:noProof/>
                <w:webHidden/>
              </w:rPr>
              <w:fldChar w:fldCharType="separate"/>
            </w:r>
            <w:r w:rsidR="000818C1">
              <w:rPr>
                <w:noProof/>
                <w:webHidden/>
              </w:rPr>
              <w:t>6</w:t>
            </w:r>
            <w:r>
              <w:rPr>
                <w:noProof/>
                <w:webHidden/>
              </w:rPr>
              <w:fldChar w:fldCharType="end"/>
            </w:r>
          </w:hyperlink>
        </w:p>
        <w:p w14:paraId="7A5D0951" w14:textId="44033D79"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41" w:history="1">
            <w:r w:rsidRPr="00604F9B">
              <w:rPr>
                <w:rStyle w:val="Hyperlink"/>
                <w:noProof/>
              </w:rPr>
              <w:t>2. Agency obligations</w:t>
            </w:r>
            <w:r>
              <w:rPr>
                <w:noProof/>
                <w:webHidden/>
              </w:rPr>
              <w:tab/>
            </w:r>
            <w:r>
              <w:rPr>
                <w:noProof/>
                <w:webHidden/>
              </w:rPr>
              <w:fldChar w:fldCharType="begin"/>
            </w:r>
            <w:r>
              <w:rPr>
                <w:noProof/>
                <w:webHidden/>
              </w:rPr>
              <w:instrText xml:space="preserve"> PAGEREF _Toc228868641 \h </w:instrText>
            </w:r>
            <w:r>
              <w:rPr>
                <w:noProof/>
                <w:webHidden/>
              </w:rPr>
            </w:r>
            <w:r>
              <w:rPr>
                <w:noProof/>
                <w:webHidden/>
              </w:rPr>
              <w:fldChar w:fldCharType="separate"/>
            </w:r>
            <w:r w:rsidR="000818C1">
              <w:rPr>
                <w:noProof/>
                <w:webHidden/>
              </w:rPr>
              <w:t>7</w:t>
            </w:r>
            <w:r>
              <w:rPr>
                <w:noProof/>
                <w:webHidden/>
              </w:rPr>
              <w:fldChar w:fldCharType="end"/>
            </w:r>
          </w:hyperlink>
        </w:p>
        <w:p w14:paraId="5E3B6A33" w14:textId="5D258D90"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42" w:history="1">
            <w:r w:rsidRPr="00604F9B">
              <w:rPr>
                <w:rStyle w:val="Hyperlink"/>
                <w:noProof/>
              </w:rPr>
              <w:t>3. Individual procurement obligations</w:t>
            </w:r>
            <w:r>
              <w:rPr>
                <w:noProof/>
                <w:webHidden/>
              </w:rPr>
              <w:tab/>
            </w:r>
            <w:r>
              <w:rPr>
                <w:noProof/>
                <w:webHidden/>
              </w:rPr>
              <w:fldChar w:fldCharType="begin"/>
            </w:r>
            <w:r>
              <w:rPr>
                <w:noProof/>
                <w:webHidden/>
              </w:rPr>
              <w:instrText xml:space="preserve"> PAGEREF _Toc228868642 \h </w:instrText>
            </w:r>
            <w:r>
              <w:rPr>
                <w:noProof/>
                <w:webHidden/>
              </w:rPr>
            </w:r>
            <w:r>
              <w:rPr>
                <w:noProof/>
                <w:webHidden/>
              </w:rPr>
              <w:fldChar w:fldCharType="separate"/>
            </w:r>
            <w:r w:rsidR="000818C1">
              <w:rPr>
                <w:noProof/>
                <w:webHidden/>
              </w:rPr>
              <w:t>7</w:t>
            </w:r>
            <w:r>
              <w:rPr>
                <w:noProof/>
                <w:webHidden/>
              </w:rPr>
              <w:fldChar w:fldCharType="end"/>
            </w:r>
          </w:hyperlink>
        </w:p>
        <w:p w14:paraId="28661772" w14:textId="2460139B"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43" w:history="1">
            <w:r w:rsidRPr="00604F9B">
              <w:rPr>
                <w:rStyle w:val="Hyperlink"/>
                <w:noProof/>
              </w:rPr>
              <w:t>3.1 Procurement planning</w:t>
            </w:r>
            <w:r>
              <w:rPr>
                <w:noProof/>
                <w:webHidden/>
              </w:rPr>
              <w:tab/>
            </w:r>
            <w:r>
              <w:rPr>
                <w:noProof/>
                <w:webHidden/>
              </w:rPr>
              <w:fldChar w:fldCharType="begin"/>
            </w:r>
            <w:r>
              <w:rPr>
                <w:noProof/>
                <w:webHidden/>
              </w:rPr>
              <w:instrText xml:space="preserve"> PAGEREF _Toc228868643 \h </w:instrText>
            </w:r>
            <w:r>
              <w:rPr>
                <w:noProof/>
                <w:webHidden/>
              </w:rPr>
            </w:r>
            <w:r>
              <w:rPr>
                <w:noProof/>
                <w:webHidden/>
              </w:rPr>
              <w:fldChar w:fldCharType="separate"/>
            </w:r>
            <w:r w:rsidR="000818C1">
              <w:rPr>
                <w:noProof/>
                <w:webHidden/>
              </w:rPr>
              <w:t>7</w:t>
            </w:r>
            <w:r>
              <w:rPr>
                <w:noProof/>
                <w:webHidden/>
              </w:rPr>
              <w:fldChar w:fldCharType="end"/>
            </w:r>
          </w:hyperlink>
        </w:p>
        <w:p w14:paraId="6F9E3FFC" w14:textId="790C7B78"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44" w:history="1">
            <w:r w:rsidRPr="00604F9B">
              <w:rPr>
                <w:rStyle w:val="Hyperlink"/>
                <w:noProof/>
              </w:rPr>
              <w:t>3.2 Go to market</w:t>
            </w:r>
            <w:r>
              <w:rPr>
                <w:noProof/>
                <w:webHidden/>
              </w:rPr>
              <w:tab/>
            </w:r>
            <w:r>
              <w:rPr>
                <w:noProof/>
                <w:webHidden/>
              </w:rPr>
              <w:fldChar w:fldCharType="begin"/>
            </w:r>
            <w:r>
              <w:rPr>
                <w:noProof/>
                <w:webHidden/>
              </w:rPr>
              <w:instrText xml:space="preserve"> PAGEREF _Toc228868644 \h </w:instrText>
            </w:r>
            <w:r>
              <w:rPr>
                <w:noProof/>
                <w:webHidden/>
              </w:rPr>
            </w:r>
            <w:r>
              <w:rPr>
                <w:noProof/>
                <w:webHidden/>
              </w:rPr>
              <w:fldChar w:fldCharType="separate"/>
            </w:r>
            <w:r w:rsidR="000818C1">
              <w:rPr>
                <w:noProof/>
                <w:webHidden/>
              </w:rPr>
              <w:t>8</w:t>
            </w:r>
            <w:r>
              <w:rPr>
                <w:noProof/>
                <w:webHidden/>
              </w:rPr>
              <w:fldChar w:fldCharType="end"/>
            </w:r>
          </w:hyperlink>
        </w:p>
        <w:p w14:paraId="2509A301" w14:textId="15868311"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45" w:history="1">
            <w:r w:rsidRPr="00604F9B">
              <w:rPr>
                <w:rStyle w:val="Hyperlink"/>
                <w:noProof/>
              </w:rPr>
              <w:t>3.3 Evaluation and award</w:t>
            </w:r>
            <w:r>
              <w:rPr>
                <w:noProof/>
                <w:webHidden/>
              </w:rPr>
              <w:tab/>
            </w:r>
            <w:r>
              <w:rPr>
                <w:noProof/>
                <w:webHidden/>
              </w:rPr>
              <w:fldChar w:fldCharType="begin"/>
            </w:r>
            <w:r>
              <w:rPr>
                <w:noProof/>
                <w:webHidden/>
              </w:rPr>
              <w:instrText xml:space="preserve"> PAGEREF _Toc228868645 \h </w:instrText>
            </w:r>
            <w:r>
              <w:rPr>
                <w:noProof/>
                <w:webHidden/>
              </w:rPr>
            </w:r>
            <w:r>
              <w:rPr>
                <w:noProof/>
                <w:webHidden/>
              </w:rPr>
              <w:fldChar w:fldCharType="separate"/>
            </w:r>
            <w:r w:rsidR="000818C1">
              <w:rPr>
                <w:noProof/>
                <w:webHidden/>
              </w:rPr>
              <w:t>8</w:t>
            </w:r>
            <w:r>
              <w:rPr>
                <w:noProof/>
                <w:webHidden/>
              </w:rPr>
              <w:fldChar w:fldCharType="end"/>
            </w:r>
          </w:hyperlink>
        </w:p>
        <w:p w14:paraId="7DBF2BF6" w14:textId="299665B7"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46" w:history="1">
            <w:r w:rsidRPr="00604F9B">
              <w:rPr>
                <w:rStyle w:val="Hyperlink"/>
                <w:noProof/>
              </w:rPr>
              <w:t>3.4 Contract management</w:t>
            </w:r>
            <w:r>
              <w:rPr>
                <w:noProof/>
                <w:webHidden/>
              </w:rPr>
              <w:tab/>
            </w:r>
            <w:r>
              <w:rPr>
                <w:noProof/>
                <w:webHidden/>
              </w:rPr>
              <w:fldChar w:fldCharType="begin"/>
            </w:r>
            <w:r>
              <w:rPr>
                <w:noProof/>
                <w:webHidden/>
              </w:rPr>
              <w:instrText xml:space="preserve"> PAGEREF _Toc228868646 \h </w:instrText>
            </w:r>
            <w:r>
              <w:rPr>
                <w:noProof/>
                <w:webHidden/>
              </w:rPr>
            </w:r>
            <w:r>
              <w:rPr>
                <w:noProof/>
                <w:webHidden/>
              </w:rPr>
              <w:fldChar w:fldCharType="separate"/>
            </w:r>
            <w:r w:rsidR="000818C1">
              <w:rPr>
                <w:noProof/>
                <w:webHidden/>
              </w:rPr>
              <w:t>9</w:t>
            </w:r>
            <w:r>
              <w:rPr>
                <w:noProof/>
                <w:webHidden/>
              </w:rPr>
              <w:fldChar w:fldCharType="end"/>
            </w:r>
          </w:hyperlink>
        </w:p>
        <w:p w14:paraId="2A066AF7" w14:textId="7B74B119"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47" w:history="1">
            <w:r w:rsidRPr="00604F9B">
              <w:rPr>
                <w:rStyle w:val="Hyperlink"/>
                <w:noProof/>
              </w:rPr>
              <w:t>Further information and support</w:t>
            </w:r>
            <w:r>
              <w:rPr>
                <w:noProof/>
                <w:webHidden/>
              </w:rPr>
              <w:tab/>
            </w:r>
            <w:r>
              <w:rPr>
                <w:noProof/>
                <w:webHidden/>
              </w:rPr>
              <w:fldChar w:fldCharType="begin"/>
            </w:r>
            <w:r>
              <w:rPr>
                <w:noProof/>
                <w:webHidden/>
              </w:rPr>
              <w:instrText xml:space="preserve"> PAGEREF _Toc228868647 \h </w:instrText>
            </w:r>
            <w:r>
              <w:rPr>
                <w:noProof/>
                <w:webHidden/>
              </w:rPr>
            </w:r>
            <w:r>
              <w:rPr>
                <w:noProof/>
                <w:webHidden/>
              </w:rPr>
              <w:fldChar w:fldCharType="separate"/>
            </w:r>
            <w:r w:rsidR="000818C1">
              <w:rPr>
                <w:noProof/>
                <w:webHidden/>
              </w:rPr>
              <w:t>9</w:t>
            </w:r>
            <w:r>
              <w:rPr>
                <w:noProof/>
                <w:webHidden/>
              </w:rPr>
              <w:fldChar w:fldCharType="end"/>
            </w:r>
          </w:hyperlink>
        </w:p>
        <w:p w14:paraId="53423D1A" w14:textId="117F9683"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48" w:history="1">
            <w:r w:rsidRPr="00604F9B">
              <w:rPr>
                <w:rStyle w:val="Hyperlink"/>
                <w:noProof/>
              </w:rPr>
              <w:t>Appendix 1: Applying accessibility considerations to individual procurement activities</w:t>
            </w:r>
            <w:r>
              <w:rPr>
                <w:noProof/>
                <w:webHidden/>
              </w:rPr>
              <w:tab/>
            </w:r>
            <w:r>
              <w:rPr>
                <w:noProof/>
                <w:webHidden/>
              </w:rPr>
              <w:fldChar w:fldCharType="begin"/>
            </w:r>
            <w:r>
              <w:rPr>
                <w:noProof/>
                <w:webHidden/>
              </w:rPr>
              <w:instrText xml:space="preserve"> PAGEREF _Toc228868648 \h </w:instrText>
            </w:r>
            <w:r>
              <w:rPr>
                <w:noProof/>
                <w:webHidden/>
              </w:rPr>
            </w:r>
            <w:r>
              <w:rPr>
                <w:noProof/>
                <w:webHidden/>
              </w:rPr>
              <w:fldChar w:fldCharType="separate"/>
            </w:r>
            <w:r w:rsidR="000818C1">
              <w:rPr>
                <w:noProof/>
                <w:webHidden/>
              </w:rPr>
              <w:t>10</w:t>
            </w:r>
            <w:r>
              <w:rPr>
                <w:noProof/>
                <w:webHidden/>
              </w:rPr>
              <w:fldChar w:fldCharType="end"/>
            </w:r>
          </w:hyperlink>
        </w:p>
        <w:p w14:paraId="2F2EF134" w14:textId="19C1B716"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49" w:history="1">
            <w:r w:rsidRPr="00604F9B">
              <w:rPr>
                <w:rStyle w:val="Hyperlink"/>
                <w:noProof/>
              </w:rPr>
              <w:t>Example 1 - Significant procurement: Procuring diagnostic consumables</w:t>
            </w:r>
            <w:r>
              <w:rPr>
                <w:noProof/>
                <w:webHidden/>
              </w:rPr>
              <w:tab/>
            </w:r>
            <w:r>
              <w:rPr>
                <w:noProof/>
                <w:webHidden/>
              </w:rPr>
              <w:fldChar w:fldCharType="begin"/>
            </w:r>
            <w:r>
              <w:rPr>
                <w:noProof/>
                <w:webHidden/>
              </w:rPr>
              <w:instrText xml:space="preserve"> PAGEREF _Toc228868649 \h </w:instrText>
            </w:r>
            <w:r>
              <w:rPr>
                <w:noProof/>
                <w:webHidden/>
              </w:rPr>
            </w:r>
            <w:r>
              <w:rPr>
                <w:noProof/>
                <w:webHidden/>
              </w:rPr>
              <w:fldChar w:fldCharType="separate"/>
            </w:r>
            <w:r w:rsidR="000818C1">
              <w:rPr>
                <w:noProof/>
                <w:webHidden/>
              </w:rPr>
              <w:t>10</w:t>
            </w:r>
            <w:r>
              <w:rPr>
                <w:noProof/>
                <w:webHidden/>
              </w:rPr>
              <w:fldChar w:fldCharType="end"/>
            </w:r>
          </w:hyperlink>
        </w:p>
        <w:p w14:paraId="36E81ACD" w14:textId="16C27658"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0" w:history="1">
            <w:r w:rsidRPr="00604F9B">
              <w:rPr>
                <w:rStyle w:val="Hyperlink"/>
                <w:noProof/>
              </w:rPr>
              <w:t>Scenario</w:t>
            </w:r>
            <w:r>
              <w:rPr>
                <w:noProof/>
                <w:webHidden/>
              </w:rPr>
              <w:tab/>
            </w:r>
            <w:r>
              <w:rPr>
                <w:noProof/>
                <w:webHidden/>
              </w:rPr>
              <w:fldChar w:fldCharType="begin"/>
            </w:r>
            <w:r>
              <w:rPr>
                <w:noProof/>
                <w:webHidden/>
              </w:rPr>
              <w:instrText xml:space="preserve"> PAGEREF _Toc228868650 \h </w:instrText>
            </w:r>
            <w:r>
              <w:rPr>
                <w:noProof/>
                <w:webHidden/>
              </w:rPr>
            </w:r>
            <w:r>
              <w:rPr>
                <w:noProof/>
                <w:webHidden/>
              </w:rPr>
              <w:fldChar w:fldCharType="separate"/>
            </w:r>
            <w:r w:rsidR="000818C1">
              <w:rPr>
                <w:noProof/>
                <w:webHidden/>
              </w:rPr>
              <w:t>10</w:t>
            </w:r>
            <w:r>
              <w:rPr>
                <w:noProof/>
                <w:webHidden/>
              </w:rPr>
              <w:fldChar w:fldCharType="end"/>
            </w:r>
          </w:hyperlink>
        </w:p>
        <w:p w14:paraId="01590C2F" w14:textId="4853FDEF"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1" w:history="1">
            <w:r w:rsidRPr="00604F9B">
              <w:rPr>
                <w:rStyle w:val="Hyperlink"/>
                <w:noProof/>
              </w:rPr>
              <w:t>Stage 1: Plan</w:t>
            </w:r>
            <w:r>
              <w:rPr>
                <w:noProof/>
                <w:webHidden/>
              </w:rPr>
              <w:tab/>
            </w:r>
            <w:r>
              <w:rPr>
                <w:noProof/>
                <w:webHidden/>
              </w:rPr>
              <w:fldChar w:fldCharType="begin"/>
            </w:r>
            <w:r>
              <w:rPr>
                <w:noProof/>
                <w:webHidden/>
              </w:rPr>
              <w:instrText xml:space="preserve"> PAGEREF _Toc228868651 \h </w:instrText>
            </w:r>
            <w:r>
              <w:rPr>
                <w:noProof/>
                <w:webHidden/>
              </w:rPr>
            </w:r>
            <w:r>
              <w:rPr>
                <w:noProof/>
                <w:webHidden/>
              </w:rPr>
              <w:fldChar w:fldCharType="separate"/>
            </w:r>
            <w:r w:rsidR="000818C1">
              <w:rPr>
                <w:noProof/>
                <w:webHidden/>
              </w:rPr>
              <w:t>10</w:t>
            </w:r>
            <w:r>
              <w:rPr>
                <w:noProof/>
                <w:webHidden/>
              </w:rPr>
              <w:fldChar w:fldCharType="end"/>
            </w:r>
          </w:hyperlink>
        </w:p>
        <w:p w14:paraId="50351528" w14:textId="45827EA5"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2" w:history="1">
            <w:r w:rsidRPr="00604F9B">
              <w:rPr>
                <w:rStyle w:val="Hyperlink"/>
                <w:noProof/>
              </w:rPr>
              <w:t>Stage 2: Go to market</w:t>
            </w:r>
            <w:r>
              <w:rPr>
                <w:noProof/>
                <w:webHidden/>
              </w:rPr>
              <w:tab/>
            </w:r>
            <w:r>
              <w:rPr>
                <w:noProof/>
                <w:webHidden/>
              </w:rPr>
              <w:fldChar w:fldCharType="begin"/>
            </w:r>
            <w:r>
              <w:rPr>
                <w:noProof/>
                <w:webHidden/>
              </w:rPr>
              <w:instrText xml:space="preserve"> PAGEREF _Toc228868652 \h </w:instrText>
            </w:r>
            <w:r>
              <w:rPr>
                <w:noProof/>
                <w:webHidden/>
              </w:rPr>
            </w:r>
            <w:r>
              <w:rPr>
                <w:noProof/>
                <w:webHidden/>
              </w:rPr>
              <w:fldChar w:fldCharType="separate"/>
            </w:r>
            <w:r w:rsidR="000818C1">
              <w:rPr>
                <w:noProof/>
                <w:webHidden/>
              </w:rPr>
              <w:t>11</w:t>
            </w:r>
            <w:r>
              <w:rPr>
                <w:noProof/>
                <w:webHidden/>
              </w:rPr>
              <w:fldChar w:fldCharType="end"/>
            </w:r>
          </w:hyperlink>
        </w:p>
        <w:p w14:paraId="1F796E36" w14:textId="758BDCF1"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3" w:history="1">
            <w:r w:rsidRPr="00604F9B">
              <w:rPr>
                <w:rStyle w:val="Hyperlink"/>
                <w:noProof/>
              </w:rPr>
              <w:t>Stage 3: Evaluate and award</w:t>
            </w:r>
            <w:r>
              <w:rPr>
                <w:noProof/>
                <w:webHidden/>
              </w:rPr>
              <w:tab/>
            </w:r>
            <w:r>
              <w:rPr>
                <w:noProof/>
                <w:webHidden/>
              </w:rPr>
              <w:fldChar w:fldCharType="begin"/>
            </w:r>
            <w:r>
              <w:rPr>
                <w:noProof/>
                <w:webHidden/>
              </w:rPr>
              <w:instrText xml:space="preserve"> PAGEREF _Toc228868653 \h </w:instrText>
            </w:r>
            <w:r>
              <w:rPr>
                <w:noProof/>
                <w:webHidden/>
              </w:rPr>
            </w:r>
            <w:r>
              <w:rPr>
                <w:noProof/>
                <w:webHidden/>
              </w:rPr>
              <w:fldChar w:fldCharType="separate"/>
            </w:r>
            <w:r w:rsidR="000818C1">
              <w:rPr>
                <w:noProof/>
                <w:webHidden/>
              </w:rPr>
              <w:t>11</w:t>
            </w:r>
            <w:r>
              <w:rPr>
                <w:noProof/>
                <w:webHidden/>
              </w:rPr>
              <w:fldChar w:fldCharType="end"/>
            </w:r>
          </w:hyperlink>
        </w:p>
        <w:p w14:paraId="1085C1EC" w14:textId="742C7E12"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4" w:history="1">
            <w:r w:rsidRPr="00604F9B">
              <w:rPr>
                <w:rStyle w:val="Hyperlink"/>
                <w:noProof/>
              </w:rPr>
              <w:t>Stage 4: Manage contract</w:t>
            </w:r>
            <w:r>
              <w:rPr>
                <w:noProof/>
                <w:webHidden/>
              </w:rPr>
              <w:tab/>
            </w:r>
            <w:r>
              <w:rPr>
                <w:noProof/>
                <w:webHidden/>
              </w:rPr>
              <w:fldChar w:fldCharType="begin"/>
            </w:r>
            <w:r>
              <w:rPr>
                <w:noProof/>
                <w:webHidden/>
              </w:rPr>
              <w:instrText xml:space="preserve"> PAGEREF _Toc228868654 \h </w:instrText>
            </w:r>
            <w:r>
              <w:rPr>
                <w:noProof/>
                <w:webHidden/>
              </w:rPr>
            </w:r>
            <w:r>
              <w:rPr>
                <w:noProof/>
                <w:webHidden/>
              </w:rPr>
              <w:fldChar w:fldCharType="separate"/>
            </w:r>
            <w:r w:rsidR="000818C1">
              <w:rPr>
                <w:noProof/>
                <w:webHidden/>
              </w:rPr>
              <w:t>12</w:t>
            </w:r>
            <w:r>
              <w:rPr>
                <w:noProof/>
                <w:webHidden/>
              </w:rPr>
              <w:fldChar w:fldCharType="end"/>
            </w:r>
          </w:hyperlink>
        </w:p>
        <w:p w14:paraId="766D25F7" w14:textId="544119BC" w:rsidR="00F95A0F" w:rsidRDefault="00F95A0F">
          <w:pPr>
            <w:pStyle w:val="TOC2"/>
            <w:tabs>
              <w:tab w:val="right" w:leader="dot" w:pos="10478"/>
            </w:tabs>
            <w:rPr>
              <w:rFonts w:asciiTheme="minorHAnsi" w:hAnsiTheme="minorHAnsi"/>
              <w:noProof/>
              <w:kern w:val="2"/>
              <w:sz w:val="24"/>
              <w:lang w:eastAsia="en-AU"/>
              <w14:ligatures w14:val="standardContextual"/>
            </w:rPr>
          </w:pPr>
          <w:hyperlink w:anchor="_Toc228868655" w:history="1">
            <w:r w:rsidRPr="00604F9B">
              <w:rPr>
                <w:rStyle w:val="Hyperlink"/>
                <w:noProof/>
              </w:rPr>
              <w:t>Example 2 – Routine procurement: Purchasing office stationery</w:t>
            </w:r>
            <w:r>
              <w:rPr>
                <w:noProof/>
                <w:webHidden/>
              </w:rPr>
              <w:tab/>
            </w:r>
            <w:r>
              <w:rPr>
                <w:noProof/>
                <w:webHidden/>
              </w:rPr>
              <w:fldChar w:fldCharType="begin"/>
            </w:r>
            <w:r>
              <w:rPr>
                <w:noProof/>
                <w:webHidden/>
              </w:rPr>
              <w:instrText xml:space="preserve"> PAGEREF _Toc228868655 \h </w:instrText>
            </w:r>
            <w:r>
              <w:rPr>
                <w:noProof/>
                <w:webHidden/>
              </w:rPr>
            </w:r>
            <w:r>
              <w:rPr>
                <w:noProof/>
                <w:webHidden/>
              </w:rPr>
              <w:fldChar w:fldCharType="separate"/>
            </w:r>
            <w:r w:rsidR="000818C1">
              <w:rPr>
                <w:noProof/>
                <w:webHidden/>
              </w:rPr>
              <w:t>13</w:t>
            </w:r>
            <w:r>
              <w:rPr>
                <w:noProof/>
                <w:webHidden/>
              </w:rPr>
              <w:fldChar w:fldCharType="end"/>
            </w:r>
          </w:hyperlink>
        </w:p>
        <w:p w14:paraId="54566D84" w14:textId="6F886733"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6" w:history="1">
            <w:r w:rsidRPr="00604F9B">
              <w:rPr>
                <w:rStyle w:val="Hyperlink"/>
                <w:noProof/>
              </w:rPr>
              <w:t>Scenario</w:t>
            </w:r>
            <w:r>
              <w:rPr>
                <w:noProof/>
                <w:webHidden/>
              </w:rPr>
              <w:tab/>
            </w:r>
            <w:r>
              <w:rPr>
                <w:noProof/>
                <w:webHidden/>
              </w:rPr>
              <w:fldChar w:fldCharType="begin"/>
            </w:r>
            <w:r>
              <w:rPr>
                <w:noProof/>
                <w:webHidden/>
              </w:rPr>
              <w:instrText xml:space="preserve"> PAGEREF _Toc228868656 \h </w:instrText>
            </w:r>
            <w:r>
              <w:rPr>
                <w:noProof/>
                <w:webHidden/>
              </w:rPr>
            </w:r>
            <w:r>
              <w:rPr>
                <w:noProof/>
                <w:webHidden/>
              </w:rPr>
              <w:fldChar w:fldCharType="separate"/>
            </w:r>
            <w:r w:rsidR="000818C1">
              <w:rPr>
                <w:noProof/>
                <w:webHidden/>
              </w:rPr>
              <w:t>13</w:t>
            </w:r>
            <w:r>
              <w:rPr>
                <w:noProof/>
                <w:webHidden/>
              </w:rPr>
              <w:fldChar w:fldCharType="end"/>
            </w:r>
          </w:hyperlink>
        </w:p>
        <w:p w14:paraId="12B4334D" w14:textId="2091B134"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7" w:history="1">
            <w:r w:rsidRPr="00604F9B">
              <w:rPr>
                <w:rStyle w:val="Hyperlink"/>
                <w:noProof/>
              </w:rPr>
              <w:t>Stage 1: Plan</w:t>
            </w:r>
            <w:r>
              <w:rPr>
                <w:noProof/>
                <w:webHidden/>
              </w:rPr>
              <w:tab/>
            </w:r>
            <w:r>
              <w:rPr>
                <w:noProof/>
                <w:webHidden/>
              </w:rPr>
              <w:fldChar w:fldCharType="begin"/>
            </w:r>
            <w:r>
              <w:rPr>
                <w:noProof/>
                <w:webHidden/>
              </w:rPr>
              <w:instrText xml:space="preserve"> PAGEREF _Toc228868657 \h </w:instrText>
            </w:r>
            <w:r>
              <w:rPr>
                <w:noProof/>
                <w:webHidden/>
              </w:rPr>
            </w:r>
            <w:r>
              <w:rPr>
                <w:noProof/>
                <w:webHidden/>
              </w:rPr>
              <w:fldChar w:fldCharType="separate"/>
            </w:r>
            <w:r w:rsidR="000818C1">
              <w:rPr>
                <w:noProof/>
                <w:webHidden/>
              </w:rPr>
              <w:t>13</w:t>
            </w:r>
            <w:r>
              <w:rPr>
                <w:noProof/>
                <w:webHidden/>
              </w:rPr>
              <w:fldChar w:fldCharType="end"/>
            </w:r>
          </w:hyperlink>
        </w:p>
        <w:p w14:paraId="2620DC5A" w14:textId="3000A7EA"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8" w:history="1">
            <w:r w:rsidRPr="00604F9B">
              <w:rPr>
                <w:rStyle w:val="Hyperlink"/>
                <w:noProof/>
              </w:rPr>
              <w:t>Stage 2: Go to market</w:t>
            </w:r>
            <w:r>
              <w:rPr>
                <w:noProof/>
                <w:webHidden/>
              </w:rPr>
              <w:tab/>
            </w:r>
            <w:r>
              <w:rPr>
                <w:noProof/>
                <w:webHidden/>
              </w:rPr>
              <w:fldChar w:fldCharType="begin"/>
            </w:r>
            <w:r>
              <w:rPr>
                <w:noProof/>
                <w:webHidden/>
              </w:rPr>
              <w:instrText xml:space="preserve"> PAGEREF _Toc228868658 \h </w:instrText>
            </w:r>
            <w:r>
              <w:rPr>
                <w:noProof/>
                <w:webHidden/>
              </w:rPr>
            </w:r>
            <w:r>
              <w:rPr>
                <w:noProof/>
                <w:webHidden/>
              </w:rPr>
              <w:fldChar w:fldCharType="separate"/>
            </w:r>
            <w:r w:rsidR="000818C1">
              <w:rPr>
                <w:noProof/>
                <w:webHidden/>
              </w:rPr>
              <w:t>13</w:t>
            </w:r>
            <w:r>
              <w:rPr>
                <w:noProof/>
                <w:webHidden/>
              </w:rPr>
              <w:fldChar w:fldCharType="end"/>
            </w:r>
          </w:hyperlink>
        </w:p>
        <w:p w14:paraId="55B23831" w14:textId="592E84E5"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59" w:history="1">
            <w:r w:rsidRPr="00604F9B">
              <w:rPr>
                <w:rStyle w:val="Hyperlink"/>
                <w:noProof/>
              </w:rPr>
              <w:t>Stage 3: Evaluate and award</w:t>
            </w:r>
            <w:r>
              <w:rPr>
                <w:noProof/>
                <w:webHidden/>
              </w:rPr>
              <w:tab/>
            </w:r>
            <w:r>
              <w:rPr>
                <w:noProof/>
                <w:webHidden/>
              </w:rPr>
              <w:fldChar w:fldCharType="begin"/>
            </w:r>
            <w:r>
              <w:rPr>
                <w:noProof/>
                <w:webHidden/>
              </w:rPr>
              <w:instrText xml:space="preserve"> PAGEREF _Toc228868659 \h </w:instrText>
            </w:r>
            <w:r>
              <w:rPr>
                <w:noProof/>
                <w:webHidden/>
              </w:rPr>
            </w:r>
            <w:r>
              <w:rPr>
                <w:noProof/>
                <w:webHidden/>
              </w:rPr>
              <w:fldChar w:fldCharType="separate"/>
            </w:r>
            <w:r w:rsidR="000818C1">
              <w:rPr>
                <w:noProof/>
                <w:webHidden/>
              </w:rPr>
              <w:t>13</w:t>
            </w:r>
            <w:r>
              <w:rPr>
                <w:noProof/>
                <w:webHidden/>
              </w:rPr>
              <w:fldChar w:fldCharType="end"/>
            </w:r>
          </w:hyperlink>
        </w:p>
        <w:p w14:paraId="3122A54A" w14:textId="5888B9AB" w:rsidR="00F95A0F" w:rsidRDefault="00F95A0F">
          <w:pPr>
            <w:pStyle w:val="TOC3"/>
            <w:tabs>
              <w:tab w:val="right" w:leader="dot" w:pos="10478"/>
            </w:tabs>
            <w:rPr>
              <w:rFonts w:asciiTheme="minorHAnsi" w:hAnsiTheme="minorHAnsi"/>
              <w:noProof/>
              <w:kern w:val="2"/>
              <w:sz w:val="24"/>
              <w:lang w:eastAsia="en-AU"/>
              <w14:ligatures w14:val="standardContextual"/>
            </w:rPr>
          </w:pPr>
          <w:hyperlink w:anchor="_Toc228868660" w:history="1">
            <w:r w:rsidRPr="00604F9B">
              <w:rPr>
                <w:rStyle w:val="Hyperlink"/>
                <w:noProof/>
              </w:rPr>
              <w:t>Stage 4: Receive goods</w:t>
            </w:r>
            <w:r>
              <w:rPr>
                <w:noProof/>
                <w:webHidden/>
              </w:rPr>
              <w:tab/>
            </w:r>
            <w:r>
              <w:rPr>
                <w:noProof/>
                <w:webHidden/>
              </w:rPr>
              <w:fldChar w:fldCharType="begin"/>
            </w:r>
            <w:r>
              <w:rPr>
                <w:noProof/>
                <w:webHidden/>
              </w:rPr>
              <w:instrText xml:space="preserve"> PAGEREF _Toc228868660 \h </w:instrText>
            </w:r>
            <w:r>
              <w:rPr>
                <w:noProof/>
                <w:webHidden/>
              </w:rPr>
            </w:r>
            <w:r>
              <w:rPr>
                <w:noProof/>
                <w:webHidden/>
              </w:rPr>
              <w:fldChar w:fldCharType="separate"/>
            </w:r>
            <w:r w:rsidR="000818C1">
              <w:rPr>
                <w:noProof/>
                <w:webHidden/>
              </w:rPr>
              <w:t>13</w:t>
            </w:r>
            <w:r>
              <w:rPr>
                <w:noProof/>
                <w:webHidden/>
              </w:rPr>
              <w:fldChar w:fldCharType="end"/>
            </w:r>
          </w:hyperlink>
        </w:p>
        <w:p w14:paraId="192BDA88" w14:textId="28384EBE" w:rsidR="00F95A0F" w:rsidRDefault="00F95A0F">
          <w:pPr>
            <w:pStyle w:val="TOC1"/>
            <w:tabs>
              <w:tab w:val="right" w:leader="dot" w:pos="10478"/>
            </w:tabs>
            <w:rPr>
              <w:rFonts w:asciiTheme="minorHAnsi" w:hAnsiTheme="minorHAnsi"/>
              <w:noProof/>
              <w:kern w:val="2"/>
              <w:sz w:val="24"/>
              <w:lang w:eastAsia="en-AU"/>
              <w14:ligatures w14:val="standardContextual"/>
            </w:rPr>
          </w:pPr>
          <w:hyperlink w:anchor="_Toc228868661" w:history="1">
            <w:r w:rsidRPr="00604F9B">
              <w:rPr>
                <w:rStyle w:val="Hyperlink"/>
                <w:noProof/>
              </w:rPr>
              <w:t>Appendix 2: Complaint examples</w:t>
            </w:r>
            <w:r>
              <w:rPr>
                <w:noProof/>
                <w:webHidden/>
              </w:rPr>
              <w:tab/>
            </w:r>
            <w:r>
              <w:rPr>
                <w:noProof/>
                <w:webHidden/>
              </w:rPr>
              <w:fldChar w:fldCharType="begin"/>
            </w:r>
            <w:r>
              <w:rPr>
                <w:noProof/>
                <w:webHidden/>
              </w:rPr>
              <w:instrText xml:space="preserve"> PAGEREF _Toc228868661 \h </w:instrText>
            </w:r>
            <w:r>
              <w:rPr>
                <w:noProof/>
                <w:webHidden/>
              </w:rPr>
            </w:r>
            <w:r>
              <w:rPr>
                <w:noProof/>
                <w:webHidden/>
              </w:rPr>
              <w:fldChar w:fldCharType="separate"/>
            </w:r>
            <w:r w:rsidR="000818C1">
              <w:rPr>
                <w:noProof/>
                <w:webHidden/>
              </w:rPr>
              <w:t>14</w:t>
            </w:r>
            <w:r>
              <w:rPr>
                <w:noProof/>
                <w:webHidden/>
              </w:rPr>
              <w:fldChar w:fldCharType="end"/>
            </w:r>
          </w:hyperlink>
        </w:p>
        <w:p w14:paraId="58B6AE67" w14:textId="426B544B" w:rsidR="00BF2C3B" w:rsidRDefault="00BF2C3B">
          <w:r>
            <w:rPr>
              <w:b/>
              <w:bCs/>
              <w:noProof/>
            </w:rPr>
            <w:fldChar w:fldCharType="end"/>
          </w:r>
        </w:p>
      </w:sdtContent>
    </w:sdt>
    <w:p w14:paraId="734D8C4B" w14:textId="77777777" w:rsidR="00BF2C3B" w:rsidRDefault="00BF2C3B">
      <w:pPr>
        <w:spacing w:line="259" w:lineRule="auto"/>
        <w:rPr>
          <w:sz w:val="18"/>
        </w:rPr>
      </w:pPr>
      <w:r>
        <w:rPr>
          <w:sz w:val="18"/>
        </w:rPr>
        <w:br w:type="page"/>
      </w:r>
    </w:p>
    <w:p w14:paraId="010C1927" w14:textId="77777777" w:rsidR="00BF2C3B" w:rsidRDefault="00BF2C3B" w:rsidP="001666F6">
      <w:pPr>
        <w:pStyle w:val="Heading1"/>
      </w:pPr>
      <w:bookmarkStart w:id="0" w:name="_Toc204081448"/>
      <w:bookmarkStart w:id="1" w:name="_Toc204081449"/>
      <w:bookmarkStart w:id="2" w:name="_Toc183682527"/>
      <w:bookmarkStart w:id="3" w:name="_Toc228868633"/>
      <w:bookmarkEnd w:id="0"/>
      <w:bookmarkEnd w:id="1"/>
      <w:r>
        <w:lastRenderedPageBreak/>
        <w:t>Purpose</w:t>
      </w:r>
      <w:bookmarkEnd w:id="2"/>
      <w:bookmarkEnd w:id="3"/>
    </w:p>
    <w:p w14:paraId="482DA30B" w14:textId="025BCAE0" w:rsidR="00BF2C3B" w:rsidRDefault="00BF2C3B" w:rsidP="00A004FD">
      <w:pPr>
        <w:spacing w:line="259" w:lineRule="auto"/>
      </w:pPr>
      <w:r>
        <w:t xml:space="preserve">This guide aims to support Queensland Government buyers to incorporate accessibility considerations </w:t>
      </w:r>
      <w:r w:rsidR="0042343D">
        <w:t>in</w:t>
      </w:r>
      <w:r>
        <w:t xml:space="preserve"> procurement. </w:t>
      </w:r>
    </w:p>
    <w:p w14:paraId="0E29C765" w14:textId="77777777" w:rsidR="00BF2C3B" w:rsidRDefault="00BF2C3B" w:rsidP="001666F6">
      <w:pPr>
        <w:pStyle w:val="Heading1"/>
      </w:pPr>
      <w:bookmarkStart w:id="4" w:name="_Toc183682528"/>
      <w:bookmarkStart w:id="5" w:name="_Toc228868634"/>
      <w:r>
        <w:t>How to use this guide</w:t>
      </w:r>
      <w:bookmarkEnd w:id="4"/>
      <w:bookmarkEnd w:id="5"/>
    </w:p>
    <w:p w14:paraId="73D31986" w14:textId="5F893150" w:rsidR="00BF2C3B" w:rsidRDefault="00BF2C3B" w:rsidP="00A004FD">
      <w:bookmarkStart w:id="6" w:name="_Hlk169677585"/>
      <w:r>
        <w:t xml:space="preserve">Read this guide with your agency’s procurement policies and procedures, whole-of-government procurement guides, the </w:t>
      </w:r>
      <w:hyperlink r:id="rId14">
        <w:r w:rsidRPr="2CB709EE">
          <w:rPr>
            <w:rStyle w:val="Hyperlink"/>
            <w:i/>
            <w:iCs/>
          </w:rPr>
          <w:t>Queensland Procurement Policy 2026</w:t>
        </w:r>
      </w:hyperlink>
      <w:r w:rsidRPr="2CB709EE">
        <w:rPr>
          <w:i/>
          <w:iCs/>
        </w:rPr>
        <w:t xml:space="preserve"> </w:t>
      </w:r>
      <w:r>
        <w:t>(QPP</w:t>
      </w:r>
      <w:r w:rsidR="00F95A0F">
        <w:t xml:space="preserve"> 2026</w:t>
      </w:r>
      <w:r>
        <w:t xml:space="preserve">), the </w:t>
      </w:r>
      <w:hyperlink r:id="rId15">
        <w:r w:rsidRPr="2CB709EE">
          <w:rPr>
            <w:rStyle w:val="Hyperlink"/>
            <w:i/>
            <w:iCs/>
          </w:rPr>
          <w:t>Disability Discrimination Act 1992</w:t>
        </w:r>
        <w:r w:rsidRPr="2CB709EE">
          <w:rPr>
            <w:rStyle w:val="Hyperlink"/>
          </w:rPr>
          <w:t xml:space="preserve"> (</w:t>
        </w:r>
        <w:proofErr w:type="spellStart"/>
        <w:r w:rsidRPr="2CB709EE">
          <w:rPr>
            <w:rStyle w:val="Hyperlink"/>
          </w:rPr>
          <w:t>Cth</w:t>
        </w:r>
        <w:proofErr w:type="spellEnd"/>
        <w:r w:rsidRPr="2CB709EE">
          <w:rPr>
            <w:rStyle w:val="Hyperlink"/>
          </w:rPr>
          <w:t>)</w:t>
        </w:r>
      </w:hyperlink>
      <w:r>
        <w:t xml:space="preserve"> (DDA), the </w:t>
      </w:r>
      <w:hyperlink r:id="rId16">
        <w:r w:rsidR="005F1A6F" w:rsidRPr="2CB709EE">
          <w:rPr>
            <w:rStyle w:val="Hyperlink"/>
          </w:rPr>
          <w:t>Disability Standards and Guidelines</w:t>
        </w:r>
      </w:hyperlink>
      <w:r>
        <w:t xml:space="preserve">, the </w:t>
      </w:r>
      <w:hyperlink r:id="rId17">
        <w:r w:rsidRPr="2CB709EE">
          <w:rPr>
            <w:rStyle w:val="Hyperlink"/>
            <w:i/>
            <w:iCs/>
          </w:rPr>
          <w:t>Disability Services Act 2006</w:t>
        </w:r>
      </w:hyperlink>
      <w:r>
        <w:t xml:space="preserve"> (DSA) and the </w:t>
      </w:r>
      <w:hyperlink r:id="rId18">
        <w:r w:rsidRPr="2CB709EE">
          <w:rPr>
            <w:rStyle w:val="Hyperlink"/>
            <w:i/>
            <w:iCs/>
          </w:rPr>
          <w:t>Anti-Discrimination Act 1991</w:t>
        </w:r>
      </w:hyperlink>
      <w:r>
        <w:t xml:space="preserve"> (ADA). </w:t>
      </w:r>
    </w:p>
    <w:p w14:paraId="4C1D25CA" w14:textId="6BA99421" w:rsidR="00BF2C3B" w:rsidRPr="002F1371" w:rsidRDefault="00BF2C3B" w:rsidP="002F1371">
      <w:r w:rsidRPr="002F1371">
        <w:t xml:space="preserve">This guide is intended to provide general guidance that is applicable to all categories of goods and/or services, acknowledging there may be procedural nuances specific to categories and agencies. It will flag key steps and considerations related to </w:t>
      </w:r>
      <w:r>
        <w:t>ensuring accessibility in government procurement activities</w:t>
      </w:r>
      <w:r w:rsidRPr="002F1371">
        <w:t xml:space="preserve"> and reference other procurement guidance </w:t>
      </w:r>
      <w:r>
        <w:t>materials where</w:t>
      </w:r>
      <w:r w:rsidRPr="002F1371">
        <w:t xml:space="preserve"> </w:t>
      </w:r>
      <w:r>
        <w:t>necessary</w:t>
      </w:r>
      <w:r w:rsidRPr="002F1371">
        <w:t>. </w:t>
      </w:r>
    </w:p>
    <w:p w14:paraId="153F84C3" w14:textId="77777777" w:rsidR="00BF2C3B" w:rsidRDefault="00BF2C3B" w:rsidP="001666F6">
      <w:pPr>
        <w:pStyle w:val="Heading1"/>
      </w:pPr>
      <w:bookmarkStart w:id="7" w:name="_Toc177387019"/>
      <w:bookmarkStart w:id="8" w:name="_Toc183682529"/>
      <w:bookmarkStart w:id="9" w:name="_Toc228868635"/>
      <w:bookmarkEnd w:id="6"/>
      <w:r>
        <w:t>Introduction</w:t>
      </w:r>
      <w:bookmarkEnd w:id="7"/>
      <w:bookmarkEnd w:id="8"/>
      <w:bookmarkEnd w:id="9"/>
    </w:p>
    <w:p w14:paraId="41A8955B" w14:textId="1555A129" w:rsidR="00BF2C3B" w:rsidRDefault="00BF2C3B" w:rsidP="00A004FD">
      <w:pPr>
        <w:tabs>
          <w:tab w:val="left" w:pos="3168"/>
        </w:tabs>
      </w:pPr>
      <w:r w:rsidRPr="002929C4">
        <w:t xml:space="preserve">Australia’s legislative and policy frameworks </w:t>
      </w:r>
      <w:proofErr w:type="gramStart"/>
      <w:r>
        <w:t>supports</w:t>
      </w:r>
      <w:proofErr w:type="gramEnd"/>
      <w:r w:rsidRPr="002929C4">
        <w:t xml:space="preserve"> the inclusion of people with disability and provides legal </w:t>
      </w:r>
      <w:r>
        <w:t>protections against</w:t>
      </w:r>
      <w:r w:rsidRPr="002929C4">
        <w:t xml:space="preserve"> discrimination </w:t>
      </w:r>
      <w:proofErr w:type="gramStart"/>
      <w:r w:rsidRPr="002929C4">
        <w:t>on the basis of</w:t>
      </w:r>
      <w:proofErr w:type="gramEnd"/>
      <w:r w:rsidRPr="002929C4">
        <w:t xml:space="preserve"> </w:t>
      </w:r>
      <w:r>
        <w:t xml:space="preserve">their </w:t>
      </w:r>
      <w:r w:rsidRPr="002929C4">
        <w:t>disability.</w:t>
      </w:r>
      <w:r w:rsidR="004D6771">
        <w:t xml:space="preserve"> </w:t>
      </w:r>
      <w:r>
        <w:t>The DDA makes it unlawful to discriminate against a person, in many areas of public life, including employment, education, getting or using services, renting or buying a house or unit, and accessing public places, because of their disability.</w:t>
      </w:r>
    </w:p>
    <w:tbl>
      <w:tblPr>
        <w:tblStyle w:val="TableGrid"/>
        <w:tblW w:w="5000" w:type="pct"/>
        <w:tblLook w:val="04A0" w:firstRow="1" w:lastRow="0" w:firstColumn="1" w:lastColumn="0" w:noHBand="0" w:noVBand="1"/>
      </w:tblPr>
      <w:tblGrid>
        <w:gridCol w:w="10478"/>
      </w:tblGrid>
      <w:tr w:rsidR="0042343D" w:rsidRPr="0042343D" w14:paraId="1A0857E8" w14:textId="77777777" w:rsidTr="00390AC1">
        <w:tc>
          <w:tcPr>
            <w:tcW w:w="5000" w:type="pct"/>
            <w:shd w:val="clear" w:color="auto" w:fill="7F7F7F" w:themeFill="accent1" w:themeFillTint="80"/>
            <w:tcMar>
              <w:top w:w="113" w:type="dxa"/>
              <w:bottom w:w="113" w:type="dxa"/>
            </w:tcMar>
          </w:tcPr>
          <w:p w14:paraId="471209A2" w14:textId="77777777" w:rsidR="0042343D" w:rsidRPr="0042343D" w:rsidRDefault="0042343D" w:rsidP="005B409F">
            <w:pPr>
              <w:spacing w:after="0"/>
              <w:rPr>
                <w:b/>
                <w:bCs/>
              </w:rPr>
            </w:pPr>
            <w:r w:rsidRPr="0042343D">
              <w:rPr>
                <w:b/>
                <w:bCs/>
                <w:color w:val="FFFFFF" w:themeColor="background1"/>
              </w:rPr>
              <w:t>Important</w:t>
            </w:r>
          </w:p>
        </w:tc>
      </w:tr>
      <w:tr w:rsidR="0042343D" w:rsidRPr="0042343D" w14:paraId="279DFF16" w14:textId="77777777" w:rsidTr="00390AC1">
        <w:tc>
          <w:tcPr>
            <w:tcW w:w="5000" w:type="pct"/>
            <w:tcMar>
              <w:top w:w="113" w:type="dxa"/>
              <w:bottom w:w="113" w:type="dxa"/>
            </w:tcMar>
          </w:tcPr>
          <w:p w14:paraId="251EBF4F" w14:textId="2B67C838" w:rsidR="0042343D" w:rsidRPr="0042343D" w:rsidRDefault="0042343D" w:rsidP="005B409F">
            <w:pPr>
              <w:tabs>
                <w:tab w:val="left" w:pos="2835"/>
              </w:tabs>
              <w:spacing w:after="0"/>
              <w:rPr>
                <w:lang w:eastAsia="en-AU"/>
              </w:rPr>
            </w:pPr>
            <w:r w:rsidRPr="0042343D">
              <w:rPr>
                <w:lang w:eastAsia="en-AU"/>
              </w:rPr>
              <w:t>Refer to section 4(1) of the DDA for the definition of ‘disability’.</w:t>
            </w:r>
          </w:p>
        </w:tc>
      </w:tr>
    </w:tbl>
    <w:p w14:paraId="11BF44C8" w14:textId="7768F13E" w:rsidR="00BF2C3B" w:rsidRDefault="00BF2C3B" w:rsidP="005B409F">
      <w:pPr>
        <w:tabs>
          <w:tab w:val="left" w:pos="3168"/>
        </w:tabs>
        <w:spacing w:before="120"/>
      </w:pPr>
      <w:r>
        <w:t xml:space="preserve">The DDA is supported by the </w:t>
      </w:r>
      <w:r w:rsidRPr="001A4217">
        <w:rPr>
          <w:i/>
          <w:iCs/>
        </w:rPr>
        <w:t>Disability Standards and Guidelines</w:t>
      </w:r>
      <w:r>
        <w:t xml:space="preserve">. These are legally binding regulations and non-binding guidelines covering access to buildings, education, public transport, digital goods and services, and insurance. </w:t>
      </w:r>
    </w:p>
    <w:p w14:paraId="2102B572" w14:textId="77777777" w:rsidR="00F537DC" w:rsidRDefault="00BF2C3B" w:rsidP="004D6771">
      <w:pPr>
        <w:spacing w:line="259" w:lineRule="auto"/>
      </w:pPr>
      <w:r>
        <w:t xml:space="preserve">In Queensland, this is also supported by the </w:t>
      </w:r>
      <w:r w:rsidRPr="00BD3A09">
        <w:t>DSA which </w:t>
      </w:r>
      <w:r>
        <w:t>acknowledges</w:t>
      </w:r>
      <w:r w:rsidRPr="00BD3A09">
        <w:t xml:space="preserve"> the rights of people with a disability, </w:t>
      </w:r>
      <w:r>
        <w:t>including by promoting their inclusion in</w:t>
      </w:r>
      <w:r w:rsidRPr="00BD3A09">
        <w:t xml:space="preserve"> the life of the community</w:t>
      </w:r>
      <w:r w:rsidRPr="00BF2C3B">
        <w:t xml:space="preserve">. </w:t>
      </w:r>
      <w:r w:rsidR="00F537DC" w:rsidRPr="00744A73">
        <w:t>The DSA sets the requirement for every Queensland Government department to develop a disability service plan.</w:t>
      </w:r>
    </w:p>
    <w:p w14:paraId="2E7255EC" w14:textId="021B5794" w:rsidR="00BF2C3B" w:rsidRDefault="00BF2C3B" w:rsidP="004D6771">
      <w:pPr>
        <w:spacing w:line="259" w:lineRule="auto"/>
      </w:pPr>
      <w:r w:rsidRPr="008C2889">
        <w:t>The ADA also applies to Queensland</w:t>
      </w:r>
      <w:r w:rsidR="00F537DC">
        <w:t xml:space="preserve">. It </w:t>
      </w:r>
      <w:r w:rsidRPr="008C2889">
        <w:t>covers a broad range of protected attributes, including impairment in various areas of activity,</w:t>
      </w:r>
      <w:r w:rsidR="008D7B24">
        <w:t xml:space="preserve"> </w:t>
      </w:r>
      <w:r w:rsidR="009B2F99">
        <w:t xml:space="preserve">to </w:t>
      </w:r>
      <w:r w:rsidR="001B41A8">
        <w:t xml:space="preserve">eliminate discrimination and enable inclusion. </w:t>
      </w:r>
    </w:p>
    <w:p w14:paraId="735713C6" w14:textId="77777777" w:rsidR="00BF2C3B" w:rsidRDefault="00BF2C3B" w:rsidP="001666F6">
      <w:pPr>
        <w:pStyle w:val="Heading2"/>
      </w:pPr>
      <w:bookmarkStart w:id="10" w:name="_Toc228868636"/>
      <w:r>
        <w:t>Disability discrimination</w:t>
      </w:r>
      <w:bookmarkEnd w:id="10"/>
    </w:p>
    <w:p w14:paraId="35398480" w14:textId="77777777" w:rsidR="00BF2C3B" w:rsidRPr="00BF2C3B" w:rsidRDefault="00BF2C3B" w:rsidP="00E34DAA">
      <w:r w:rsidRPr="00BF2C3B">
        <w:t xml:space="preserve">The DDA stipulates that a person (‘the discriminator’) discriminates against a person with a disability if: </w:t>
      </w:r>
    </w:p>
    <w:p w14:paraId="7A9CF12C" w14:textId="77777777" w:rsidR="00BF2C3B" w:rsidRPr="00BF2C3B" w:rsidRDefault="00BF2C3B" w:rsidP="00BF2C3B">
      <w:pPr>
        <w:pStyle w:val="ListParagraph"/>
        <w:numPr>
          <w:ilvl w:val="0"/>
          <w:numId w:val="18"/>
        </w:numPr>
        <w:tabs>
          <w:tab w:val="clear" w:pos="2835"/>
        </w:tabs>
        <w:spacing w:after="60"/>
      </w:pPr>
      <w:r w:rsidRPr="00BF2C3B">
        <w:rPr>
          <w:b/>
          <w:bCs/>
        </w:rPr>
        <w:t>Direct Discrimination</w:t>
      </w:r>
      <w:r w:rsidRPr="00BF2C3B">
        <w:t xml:space="preserve"> - the discriminator proposes to:</w:t>
      </w:r>
    </w:p>
    <w:p w14:paraId="71DD1A8B" w14:textId="77777777" w:rsidR="00BF2C3B" w:rsidRPr="00BF2C3B" w:rsidRDefault="00BF2C3B" w:rsidP="00BF2C3B">
      <w:pPr>
        <w:pStyle w:val="ListParagraph"/>
        <w:numPr>
          <w:ilvl w:val="0"/>
          <w:numId w:val="20"/>
        </w:numPr>
        <w:tabs>
          <w:tab w:val="clear" w:pos="2835"/>
        </w:tabs>
        <w:spacing w:after="60"/>
      </w:pPr>
      <w:r w:rsidRPr="00BF2C3B">
        <w:t>treat that person less favourably than a person without the disability or</w:t>
      </w:r>
    </w:p>
    <w:p w14:paraId="4A50468C" w14:textId="77777777" w:rsidR="00BF2C3B" w:rsidRPr="00BF2C3B" w:rsidRDefault="00BF2C3B" w:rsidP="00BF2C3B">
      <w:pPr>
        <w:pStyle w:val="ListParagraph"/>
        <w:numPr>
          <w:ilvl w:val="0"/>
          <w:numId w:val="20"/>
        </w:numPr>
        <w:tabs>
          <w:tab w:val="clear" w:pos="2835"/>
        </w:tabs>
        <w:spacing w:after="60"/>
      </w:pPr>
      <w:r w:rsidRPr="00BF2C3B">
        <w:t xml:space="preserve">not make reasonable adjustments for the person, with the effect that the person is treated less favourably than they would have been treated without the </w:t>
      </w:r>
      <w:proofErr w:type="gramStart"/>
      <w:r w:rsidRPr="00BF2C3B">
        <w:t>disability;</w:t>
      </w:r>
      <w:proofErr w:type="gramEnd"/>
    </w:p>
    <w:p w14:paraId="04AF5309" w14:textId="77777777" w:rsidR="00BF2C3B" w:rsidRPr="00BF2C3B" w:rsidRDefault="00BF2C3B" w:rsidP="00E34DAA">
      <w:r w:rsidRPr="00BF2C3B">
        <w:t xml:space="preserve">       (e.g. in the selection of </w:t>
      </w:r>
      <w:proofErr w:type="gramStart"/>
      <w:r w:rsidRPr="00BF2C3B">
        <w:t>particular suppliers</w:t>
      </w:r>
      <w:proofErr w:type="gramEnd"/>
      <w:r w:rsidRPr="00BF2C3B">
        <w:t xml:space="preserve"> for the provision of goods or services).</w:t>
      </w:r>
    </w:p>
    <w:p w14:paraId="55114281" w14:textId="77777777" w:rsidR="00BF2C3B" w:rsidRPr="00BF2C3B" w:rsidRDefault="00BF2C3B" w:rsidP="00BF2C3B">
      <w:pPr>
        <w:pStyle w:val="ListParagraph"/>
        <w:numPr>
          <w:ilvl w:val="0"/>
          <w:numId w:val="18"/>
        </w:numPr>
        <w:tabs>
          <w:tab w:val="clear" w:pos="2835"/>
        </w:tabs>
        <w:spacing w:after="60"/>
      </w:pPr>
      <w:r w:rsidRPr="00BF2C3B">
        <w:rPr>
          <w:b/>
          <w:bCs/>
        </w:rPr>
        <w:t xml:space="preserve">Indirect Discrimination </w:t>
      </w:r>
      <w:r w:rsidRPr="00BF2C3B">
        <w:t>- the discriminator proposes to require the person to comply with a requirement or a condition which, because of the person’s disability, the person:</w:t>
      </w:r>
    </w:p>
    <w:p w14:paraId="12313E96" w14:textId="77777777" w:rsidR="00BF2C3B" w:rsidRPr="00BF2C3B" w:rsidRDefault="00BF2C3B" w:rsidP="00BF2C3B">
      <w:pPr>
        <w:pStyle w:val="ListParagraph"/>
        <w:numPr>
          <w:ilvl w:val="0"/>
          <w:numId w:val="20"/>
        </w:numPr>
        <w:tabs>
          <w:tab w:val="clear" w:pos="2835"/>
        </w:tabs>
        <w:spacing w:after="60"/>
      </w:pPr>
      <w:proofErr w:type="gramStart"/>
      <w:r w:rsidRPr="00BF2C3B">
        <w:t>is not able to</w:t>
      </w:r>
      <w:proofErr w:type="gramEnd"/>
      <w:r w:rsidRPr="00BF2C3B">
        <w:t xml:space="preserve"> comply; or</w:t>
      </w:r>
    </w:p>
    <w:p w14:paraId="063AAD4E" w14:textId="77777777" w:rsidR="00BF2C3B" w:rsidRPr="00BF2C3B" w:rsidRDefault="00BF2C3B" w:rsidP="00BF2C3B">
      <w:pPr>
        <w:pStyle w:val="ListParagraph"/>
        <w:numPr>
          <w:ilvl w:val="0"/>
          <w:numId w:val="20"/>
        </w:numPr>
        <w:tabs>
          <w:tab w:val="clear" w:pos="2835"/>
        </w:tabs>
        <w:spacing w:after="60"/>
      </w:pPr>
      <w:r w:rsidRPr="00BF2C3B">
        <w:t xml:space="preserve">is only able to comply if reasonable adjustments are made but the discriminator proposes not to do </w:t>
      </w:r>
      <w:proofErr w:type="gramStart"/>
      <w:r w:rsidRPr="00BF2C3B">
        <w:t>so;</w:t>
      </w:r>
      <w:proofErr w:type="gramEnd"/>
    </w:p>
    <w:p w14:paraId="536ADB4D" w14:textId="77777777" w:rsidR="00EE3538" w:rsidRDefault="00BF2C3B" w:rsidP="00EE3538">
      <w:pPr>
        <w:ind w:left="360"/>
      </w:pPr>
      <w:r w:rsidRPr="00BF2C3B">
        <w:t>and this has the likely effect of disadvantaging that person.</w:t>
      </w:r>
    </w:p>
    <w:p w14:paraId="58572253" w14:textId="69CF5E8B" w:rsidR="00BF2C3B" w:rsidRPr="00BF2C3B" w:rsidRDefault="00BF2C3B" w:rsidP="00EE3538">
      <w:pPr>
        <w:ind w:left="360"/>
      </w:pPr>
      <w:r>
        <w:t>(e.g. accessing buildings, public transport, housing accommodation or health and hospital services).</w:t>
      </w:r>
    </w:p>
    <w:p w14:paraId="21CC9D66" w14:textId="77777777" w:rsidR="00BF2C3B" w:rsidRPr="00002424" w:rsidRDefault="00BF2C3B" w:rsidP="00BF2C3B">
      <w:r w:rsidRPr="00BF2C3B">
        <w:t>Under the DDA, direct or indirect discrimination can also occur against a person who has an associate with a disability (a spouse, relative, carer or person in a business, sporting or recreational relationship with a person with a disability).</w:t>
      </w:r>
    </w:p>
    <w:p w14:paraId="41BF2454" w14:textId="1682A774" w:rsidR="00BF2C3B" w:rsidRPr="005B7B8D" w:rsidDel="00D214F5" w:rsidRDefault="00BF2C3B" w:rsidP="001666F6">
      <w:pPr>
        <w:pStyle w:val="Heading2"/>
      </w:pPr>
      <w:bookmarkStart w:id="11" w:name="_Toc228868637"/>
      <w:r w:rsidRPr="00EF5811">
        <w:t>Commitment</w:t>
      </w:r>
      <w:r>
        <w:t xml:space="preserve"> to ensuring accessibility in procurement</w:t>
      </w:r>
      <w:bookmarkEnd w:id="11"/>
    </w:p>
    <w:p w14:paraId="5CE16EEC" w14:textId="77777777" w:rsidR="00BF2C3B" w:rsidRPr="00932E52" w:rsidRDefault="00BF2C3B" w:rsidP="004D6771">
      <w:r w:rsidRPr="00932E52">
        <w:t>In response to the Royal Commission into Violence, Abuse, Neglect and Exploitation of People with Disability (</w:t>
      </w:r>
      <w:hyperlink r:id="rId19" w:history="1">
        <w:r w:rsidRPr="00932E52">
          <w:rPr>
            <w:rStyle w:val="Hyperlink"/>
            <w:rFonts w:cs="Arial"/>
            <w:spacing w:val="2"/>
            <w:szCs w:val="20"/>
            <w:shd w:val="clear" w:color="auto" w:fill="FFFFFF"/>
          </w:rPr>
          <w:t>Disability Royal Commission</w:t>
        </w:r>
      </w:hyperlink>
      <w:r w:rsidRPr="00932E52">
        <w:rPr>
          <w:rFonts w:cs="Arial"/>
          <w:szCs w:val="20"/>
        </w:rPr>
        <w:t>), t</w:t>
      </w:r>
      <w:r w:rsidRPr="00932E52">
        <w:t xml:space="preserve">he Queensland Government has committed to consider procurement policies that encourage inclusive employment practices in the private sector, building on existing procurement strategies and policies. </w:t>
      </w:r>
    </w:p>
    <w:p w14:paraId="01BB4F64" w14:textId="4E576B21" w:rsidR="00BF2C3B" w:rsidRDefault="00BF2C3B" w:rsidP="00BD3A09">
      <w:r>
        <w:lastRenderedPageBreak/>
        <w:t xml:space="preserve">The QPP 2026 recognises that improving accessibility in procurement contributes to promoting a more inclusive and efficient procurement environment. Ensuring accessibility in procurement benefits not just people with disability, but other marginalised and disadvantaged segments of the community, supporting greater diversity and inclusivity. </w:t>
      </w:r>
    </w:p>
    <w:p w14:paraId="3A2625DC" w14:textId="1E72078A" w:rsidR="007B7AD8" w:rsidRDefault="007B7AD8" w:rsidP="00B21DB9">
      <w:r>
        <w:t xml:space="preserve">Buyers are encouraged to move beyond mere compliance with accessibility requirements and focus on the broader benefits of incorporating inclusive action throughout the procurement process. </w:t>
      </w:r>
    </w:p>
    <w:p w14:paraId="5D667E9B" w14:textId="5709643D" w:rsidR="007B7AD8" w:rsidRDefault="00FF716A" w:rsidP="00B21DB9">
      <w:r>
        <w:t xml:space="preserve">For both government and industry, ensuring compliance with relevant legislation in any procurement enables better outcomes, including minimising exposure to reputational and delivery risk. </w:t>
      </w:r>
    </w:p>
    <w:p w14:paraId="35E4541E" w14:textId="77777777" w:rsidR="00DE480C" w:rsidRPr="00E16951" w:rsidRDefault="00DE480C" w:rsidP="00DE480C">
      <w:pPr>
        <w:spacing w:after="0" w:line="260" w:lineRule="exact"/>
        <w:rPr>
          <w:rFonts w:cs="Arial"/>
          <w:szCs w:val="20"/>
        </w:rPr>
      </w:pPr>
      <w:r>
        <w:rPr>
          <w:rFonts w:cs="Arial"/>
          <w:szCs w:val="20"/>
        </w:rPr>
        <w:t>Applying accessibility considerations to procurement is</w:t>
      </w:r>
      <w:r w:rsidRPr="00E16951">
        <w:rPr>
          <w:rFonts w:cs="Arial"/>
          <w:szCs w:val="20"/>
        </w:rPr>
        <w:t xml:space="preserve"> about ensuring that goods and/or services</w:t>
      </w:r>
      <w:r>
        <w:rPr>
          <w:rFonts w:cs="Arial"/>
          <w:szCs w:val="20"/>
        </w:rPr>
        <w:t xml:space="preserve"> are</w:t>
      </w:r>
      <w:r w:rsidRPr="00E16951">
        <w:rPr>
          <w:rFonts w:cs="Arial"/>
          <w:szCs w:val="20"/>
        </w:rPr>
        <w:t xml:space="preserve"> so</w:t>
      </w:r>
      <w:r>
        <w:rPr>
          <w:rFonts w:cs="Arial"/>
          <w:szCs w:val="20"/>
        </w:rPr>
        <w:t xml:space="preserve">urced in an accessible </w:t>
      </w:r>
      <w:proofErr w:type="gramStart"/>
      <w:r>
        <w:rPr>
          <w:rFonts w:cs="Arial"/>
          <w:szCs w:val="20"/>
        </w:rPr>
        <w:t>manner, and</w:t>
      </w:r>
      <w:proofErr w:type="gramEnd"/>
      <w:r w:rsidRPr="00E16951">
        <w:rPr>
          <w:rFonts w:cs="Arial"/>
          <w:szCs w:val="20"/>
        </w:rPr>
        <w:t xml:space="preserve"> are available for use by others in a way that maximises accessibility.</w:t>
      </w:r>
      <w:r>
        <w:rPr>
          <w:rFonts w:cs="Arial"/>
          <w:szCs w:val="20"/>
        </w:rPr>
        <w:t xml:space="preserve"> It is about </w:t>
      </w:r>
      <w:r w:rsidRPr="00E16951">
        <w:rPr>
          <w:rFonts w:cs="Arial"/>
          <w:szCs w:val="20"/>
        </w:rPr>
        <w:t>advanc</w:t>
      </w:r>
      <w:r>
        <w:rPr>
          <w:rFonts w:cs="Arial"/>
          <w:szCs w:val="20"/>
        </w:rPr>
        <w:t>ing</w:t>
      </w:r>
      <w:r w:rsidRPr="00E16951">
        <w:rPr>
          <w:rFonts w:cs="Arial"/>
          <w:szCs w:val="20"/>
        </w:rPr>
        <w:t xml:space="preserve"> the interests/improve outcomes for people with disability in line with Queensland’s commitments under, for example, </w:t>
      </w:r>
      <w:hyperlink r:id="rId20" w:history="1">
        <w:r w:rsidRPr="00E16951">
          <w:rPr>
            <w:rStyle w:val="Hyperlink"/>
            <w:rFonts w:cs="Arial"/>
            <w:i/>
            <w:iCs/>
            <w:szCs w:val="20"/>
          </w:rPr>
          <w:t>Australia’s Disability Strategy 2021-31</w:t>
        </w:r>
      </w:hyperlink>
      <w:r>
        <w:t>.</w:t>
      </w:r>
      <w:r w:rsidRPr="00E16951">
        <w:rPr>
          <w:rFonts w:cs="Arial"/>
          <w:szCs w:val="20"/>
        </w:rPr>
        <w:t xml:space="preserve"> </w:t>
      </w:r>
    </w:p>
    <w:p w14:paraId="2724BF6B" w14:textId="597B108F" w:rsidR="0042343D" w:rsidRDefault="0042343D" w:rsidP="001666F6">
      <w:pPr>
        <w:pStyle w:val="Heading1"/>
      </w:pPr>
      <w:bookmarkStart w:id="12" w:name="_Toc228868638"/>
      <w:r>
        <w:t>Process summary</w:t>
      </w:r>
      <w:bookmarkEnd w:id="12"/>
    </w:p>
    <w:p w14:paraId="70D78AE8" w14:textId="136BAF61" w:rsidR="0042343D" w:rsidRPr="005B409F" w:rsidRDefault="004B6183" w:rsidP="0042343D">
      <w:r>
        <w:t>Applying accessibility considerations</w:t>
      </w:r>
      <w:r w:rsidR="007E722C">
        <w:t xml:space="preserve"> should be tailored based on the </w:t>
      </w:r>
      <w:r w:rsidR="001E4C77">
        <w:t xml:space="preserve">objective, </w:t>
      </w:r>
      <w:r w:rsidR="007E722C">
        <w:t>risk, value and complexity of the procurement.</w:t>
      </w:r>
      <w:r w:rsidR="00AD77E9">
        <w:t xml:space="preserve"> Having regard to this, </w:t>
      </w:r>
      <w:r w:rsidR="0042343D" w:rsidRPr="0042343D">
        <w:rPr>
          <w:b/>
          <w:bCs/>
          <w:lang w:val="en-GB"/>
        </w:rPr>
        <w:t>Table 1</w:t>
      </w:r>
      <w:r w:rsidR="0042343D" w:rsidRPr="0042343D">
        <w:rPr>
          <w:lang w:val="en-GB"/>
        </w:rPr>
        <w:t xml:space="preserve"> below</w:t>
      </w:r>
      <w:r w:rsidR="00AD77E9">
        <w:rPr>
          <w:lang w:val="en-GB"/>
        </w:rPr>
        <w:t xml:space="preserve"> provides a general</w:t>
      </w:r>
      <w:r w:rsidR="0042343D" w:rsidRPr="0042343D">
        <w:rPr>
          <w:lang w:val="en-GB"/>
        </w:rPr>
        <w:t xml:space="preserve"> </w:t>
      </w:r>
      <w:r w:rsidR="00AD77E9">
        <w:rPr>
          <w:lang w:val="en-GB"/>
        </w:rPr>
        <w:t>process summary of</w:t>
      </w:r>
      <w:r w:rsidR="0042343D" w:rsidRPr="0042343D">
        <w:rPr>
          <w:lang w:val="en-GB"/>
        </w:rPr>
        <w:t xml:space="preserve"> the key steps to </w:t>
      </w:r>
      <w:r w:rsidR="0042343D">
        <w:rPr>
          <w:lang w:val="en-GB"/>
        </w:rPr>
        <w:t>incorporate accessibility considerations in procurement</w:t>
      </w:r>
      <w:r w:rsidR="00380A39">
        <w:rPr>
          <w:lang w:val="en-GB"/>
        </w:rPr>
        <w:t xml:space="preserve"> and may be adapted to your agency’s specific processes</w:t>
      </w:r>
      <w:r w:rsidR="00B421CD">
        <w:rPr>
          <w:lang w:val="en-GB"/>
        </w:rPr>
        <w:t>.</w:t>
      </w:r>
      <w:r w:rsidR="001F5DC4">
        <w:rPr>
          <w:lang w:val="en-GB"/>
        </w:rPr>
        <w:t xml:space="preserve"> Further detail on each step is included in the following pages.</w:t>
      </w:r>
    </w:p>
    <w:p w14:paraId="17F8CE36" w14:textId="1EB29C02" w:rsidR="0042343D" w:rsidRPr="0042343D" w:rsidRDefault="0042343D" w:rsidP="0042343D">
      <w:pPr>
        <w:rPr>
          <w:sz w:val="18"/>
          <w:szCs w:val="22"/>
          <w:lang w:val="en-GB"/>
        </w:rPr>
      </w:pPr>
      <w:r w:rsidRPr="0042343D">
        <w:rPr>
          <w:b/>
          <w:bCs/>
          <w:sz w:val="18"/>
          <w:szCs w:val="22"/>
          <w:lang w:val="en-GB"/>
        </w:rPr>
        <w:t>Table 1:</w:t>
      </w:r>
      <w:r>
        <w:rPr>
          <w:sz w:val="18"/>
          <w:szCs w:val="22"/>
          <w:lang w:val="en-GB"/>
        </w:rPr>
        <w:t xml:space="preserve"> Incorporating accessibility considerations in procurement</w:t>
      </w:r>
      <w:r w:rsidR="002E69F4">
        <w:rPr>
          <w:sz w:val="18"/>
          <w:szCs w:val="22"/>
          <w:lang w:val="en-GB"/>
        </w:rPr>
        <w:t xml:space="preserve"> -</w:t>
      </w:r>
      <w:r>
        <w:rPr>
          <w:sz w:val="18"/>
          <w:szCs w:val="22"/>
          <w:lang w:val="en-GB"/>
        </w:rPr>
        <w:t xml:space="preserve"> process</w:t>
      </w:r>
      <w:r w:rsidRPr="0042343D">
        <w:rPr>
          <w:sz w:val="18"/>
          <w:szCs w:val="22"/>
          <w:lang w:val="en-GB"/>
        </w:rPr>
        <w:t xml:space="preserve"> summary</w:t>
      </w:r>
    </w:p>
    <w:tbl>
      <w:tblPr>
        <w:tblStyle w:val="TableGrid"/>
        <w:tblW w:w="5000" w:type="pct"/>
        <w:tblLook w:val="04A0" w:firstRow="1" w:lastRow="0" w:firstColumn="1" w:lastColumn="0" w:noHBand="0" w:noVBand="1"/>
      </w:tblPr>
      <w:tblGrid>
        <w:gridCol w:w="539"/>
        <w:gridCol w:w="8669"/>
        <w:gridCol w:w="1270"/>
      </w:tblGrid>
      <w:tr w:rsidR="00170C9A" w:rsidRPr="0057355E" w14:paraId="5B29CE47" w14:textId="540157EC" w:rsidTr="2CB709EE">
        <w:trPr>
          <w:trHeight w:val="454"/>
        </w:trPr>
        <w:tc>
          <w:tcPr>
            <w:tcW w:w="257" w:type="pct"/>
            <w:shd w:val="clear" w:color="auto" w:fill="0070C0"/>
            <w:vAlign w:val="center"/>
          </w:tcPr>
          <w:p w14:paraId="19FD2F76" w14:textId="77777777" w:rsidR="00170C9A" w:rsidRPr="0057355E" w:rsidRDefault="7D9A162B" w:rsidP="005B409F">
            <w:pPr>
              <w:spacing w:after="0"/>
              <w:jc w:val="center"/>
              <w:rPr>
                <w:rFonts w:eastAsia="Times New Roman" w:cs="Times New Roman"/>
                <w:b/>
                <w:bCs/>
                <w:color w:val="FFFFFF"/>
              </w:rPr>
            </w:pPr>
            <w:r w:rsidRPr="2CB709EE">
              <w:rPr>
                <w:rFonts w:eastAsia="Times New Roman" w:cs="Times New Roman"/>
                <w:b/>
                <w:bCs/>
                <w:color w:val="FFFFFF" w:themeColor="background1"/>
              </w:rPr>
              <w:t>No.</w:t>
            </w:r>
          </w:p>
        </w:tc>
        <w:tc>
          <w:tcPr>
            <w:tcW w:w="4137" w:type="pct"/>
            <w:shd w:val="clear" w:color="auto" w:fill="0070C0"/>
            <w:vAlign w:val="center"/>
          </w:tcPr>
          <w:p w14:paraId="21126E9A" w14:textId="77777777" w:rsidR="00170C9A" w:rsidRPr="0057355E" w:rsidRDefault="00170C9A" w:rsidP="005B409F">
            <w:pPr>
              <w:spacing w:after="0"/>
              <w:jc w:val="center"/>
              <w:rPr>
                <w:rFonts w:eastAsia="Times New Roman" w:cs="Times New Roman"/>
                <w:b/>
                <w:bCs/>
                <w:color w:val="FFFFFF"/>
              </w:rPr>
            </w:pPr>
            <w:r w:rsidRPr="0057355E">
              <w:rPr>
                <w:rFonts w:eastAsia="Times New Roman" w:cs="Times New Roman"/>
                <w:b/>
                <w:bCs/>
                <w:color w:val="FFFFFF"/>
              </w:rPr>
              <w:t>Step</w:t>
            </w:r>
          </w:p>
        </w:tc>
        <w:tc>
          <w:tcPr>
            <w:tcW w:w="606" w:type="pct"/>
            <w:shd w:val="clear" w:color="auto" w:fill="0070C0"/>
          </w:tcPr>
          <w:p w14:paraId="5296E6F4" w14:textId="295FC2AB" w:rsidR="00170C9A" w:rsidRPr="0057355E" w:rsidRDefault="00B11A31" w:rsidP="005B409F">
            <w:pPr>
              <w:spacing w:after="0"/>
              <w:jc w:val="center"/>
              <w:rPr>
                <w:rFonts w:eastAsia="Times New Roman" w:cs="Times New Roman"/>
                <w:b/>
                <w:bCs/>
                <w:color w:val="FFFFFF"/>
              </w:rPr>
            </w:pPr>
            <w:r>
              <w:rPr>
                <w:rFonts w:eastAsia="Times New Roman" w:cs="Times New Roman"/>
                <w:b/>
                <w:bCs/>
                <w:color w:val="FFFFFF"/>
              </w:rPr>
              <w:t xml:space="preserve">QPP 2026 </w:t>
            </w:r>
            <w:r w:rsidR="00AC4672">
              <w:rPr>
                <w:rFonts w:eastAsia="Times New Roman" w:cs="Times New Roman"/>
                <w:b/>
                <w:bCs/>
                <w:color w:val="FFFFFF"/>
              </w:rPr>
              <w:t>R</w:t>
            </w:r>
            <w:r>
              <w:rPr>
                <w:rFonts w:eastAsia="Times New Roman" w:cs="Times New Roman"/>
                <w:b/>
                <w:bCs/>
                <w:color w:val="FFFFFF"/>
              </w:rPr>
              <w:t>eference</w:t>
            </w:r>
          </w:p>
        </w:tc>
      </w:tr>
      <w:tr w:rsidR="00170C9A" w:rsidRPr="0057355E" w14:paraId="15F0145D" w14:textId="3BE067A0" w:rsidTr="2CB709EE">
        <w:trPr>
          <w:trHeight w:val="371"/>
        </w:trPr>
        <w:tc>
          <w:tcPr>
            <w:tcW w:w="257" w:type="pct"/>
            <w:vAlign w:val="center"/>
          </w:tcPr>
          <w:p w14:paraId="6DDB6CCE" w14:textId="77777777" w:rsidR="00170C9A" w:rsidRPr="0057355E" w:rsidRDefault="00170C9A" w:rsidP="00F34743">
            <w:pPr>
              <w:jc w:val="center"/>
              <w:rPr>
                <w:rFonts w:eastAsia="Times New Roman" w:cs="Times New Roman"/>
                <w:szCs w:val="20"/>
              </w:rPr>
            </w:pPr>
            <w:r w:rsidRPr="0057355E">
              <w:rPr>
                <w:rFonts w:eastAsia="Times New Roman" w:cs="Times New Roman"/>
                <w:szCs w:val="20"/>
              </w:rPr>
              <w:t>1</w:t>
            </w:r>
          </w:p>
        </w:tc>
        <w:tc>
          <w:tcPr>
            <w:tcW w:w="4137" w:type="pct"/>
            <w:vAlign w:val="center"/>
          </w:tcPr>
          <w:p w14:paraId="15EA1413" w14:textId="77777777" w:rsidR="00170C9A" w:rsidRPr="0057355E" w:rsidRDefault="00170C9A" w:rsidP="0057355E">
            <w:pPr>
              <w:spacing w:after="60"/>
              <w:rPr>
                <w:rFonts w:eastAsia="Times New Roman" w:cs="Times New Roman"/>
              </w:rPr>
            </w:pPr>
            <w:r w:rsidRPr="0057355E">
              <w:rPr>
                <w:rFonts w:eastAsia="Times New Roman" w:cs="Times New Roman"/>
              </w:rPr>
              <w:t>Familiarise yourself with the seven design principles to help guide decisions around whether a product, service or environment is universally accessible:</w:t>
            </w:r>
          </w:p>
          <w:p w14:paraId="5010CC7B"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Equitable use</w:t>
            </w:r>
          </w:p>
          <w:p w14:paraId="2F8171A3"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Flexibility in use</w:t>
            </w:r>
          </w:p>
          <w:p w14:paraId="13F143B9"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Simple and intuitive use</w:t>
            </w:r>
          </w:p>
          <w:p w14:paraId="29BFCAF4"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Perceptible information</w:t>
            </w:r>
          </w:p>
          <w:p w14:paraId="3DD9B5B4"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Tolerance for error</w:t>
            </w:r>
          </w:p>
          <w:p w14:paraId="641C83AB"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Low physical effort</w:t>
            </w:r>
          </w:p>
          <w:p w14:paraId="34F429B0" w14:textId="77777777" w:rsidR="00170C9A" w:rsidRPr="0057355E" w:rsidRDefault="00170C9A" w:rsidP="0057355E">
            <w:pPr>
              <w:numPr>
                <w:ilvl w:val="0"/>
                <w:numId w:val="29"/>
              </w:numPr>
              <w:spacing w:after="60"/>
              <w:contextualSpacing/>
              <w:rPr>
                <w:rFonts w:eastAsia="Times New Roman" w:cs="Times New Roman"/>
                <w:lang w:eastAsia="en-AU"/>
              </w:rPr>
            </w:pPr>
            <w:r w:rsidRPr="0057355E">
              <w:rPr>
                <w:rFonts w:eastAsia="Times New Roman" w:cs="Times New Roman"/>
                <w:lang w:eastAsia="en-AU"/>
              </w:rPr>
              <w:t>Size and space for approach and use</w:t>
            </w:r>
          </w:p>
        </w:tc>
        <w:tc>
          <w:tcPr>
            <w:tcW w:w="606" w:type="pct"/>
          </w:tcPr>
          <w:p w14:paraId="2AF44915" w14:textId="7DF8CD87" w:rsidR="00170C9A" w:rsidRPr="0057355E" w:rsidRDefault="00C74AC4" w:rsidP="0057355E">
            <w:pPr>
              <w:spacing w:after="60"/>
              <w:rPr>
                <w:rFonts w:eastAsia="Times New Roman" w:cs="Times New Roman"/>
              </w:rPr>
            </w:pPr>
            <w:r>
              <w:rPr>
                <w:rFonts w:eastAsia="Times New Roman" w:cs="Times New Roman"/>
              </w:rPr>
              <w:t>Pillar</w:t>
            </w:r>
            <w:r w:rsidR="00EF58EE">
              <w:rPr>
                <w:rFonts w:eastAsia="Times New Roman" w:cs="Times New Roman"/>
              </w:rPr>
              <w:t>s 1 and</w:t>
            </w:r>
            <w:r>
              <w:rPr>
                <w:rFonts w:eastAsia="Times New Roman" w:cs="Times New Roman"/>
              </w:rPr>
              <w:t xml:space="preserve"> </w:t>
            </w:r>
            <w:r w:rsidR="00364194">
              <w:rPr>
                <w:rFonts w:eastAsia="Times New Roman" w:cs="Times New Roman"/>
              </w:rPr>
              <w:t>5</w:t>
            </w:r>
          </w:p>
        </w:tc>
      </w:tr>
      <w:tr w:rsidR="00170C9A" w:rsidRPr="0057355E" w14:paraId="70CA8FDF" w14:textId="34F6B9CC" w:rsidTr="2CB709EE">
        <w:trPr>
          <w:trHeight w:val="371"/>
        </w:trPr>
        <w:tc>
          <w:tcPr>
            <w:tcW w:w="257" w:type="pct"/>
            <w:vAlign w:val="center"/>
          </w:tcPr>
          <w:p w14:paraId="3649FBF1" w14:textId="77777777" w:rsidR="00170C9A" w:rsidRPr="0057355E" w:rsidRDefault="00170C9A" w:rsidP="00F34743">
            <w:pPr>
              <w:jc w:val="center"/>
              <w:rPr>
                <w:rFonts w:eastAsia="Times New Roman" w:cs="Times New Roman"/>
                <w:szCs w:val="20"/>
              </w:rPr>
            </w:pPr>
            <w:r w:rsidRPr="0057355E">
              <w:rPr>
                <w:rFonts w:eastAsia="Times New Roman" w:cs="Times New Roman"/>
                <w:szCs w:val="20"/>
              </w:rPr>
              <w:t>2</w:t>
            </w:r>
          </w:p>
        </w:tc>
        <w:tc>
          <w:tcPr>
            <w:tcW w:w="4137" w:type="pct"/>
            <w:vAlign w:val="center"/>
          </w:tcPr>
          <w:p w14:paraId="4F532351" w14:textId="35748C78" w:rsidR="00170C9A" w:rsidRPr="0057355E" w:rsidRDefault="00170C9A" w:rsidP="0057355E">
            <w:pPr>
              <w:rPr>
                <w:rFonts w:eastAsia="Times New Roman" w:cs="Times New Roman"/>
                <w:b/>
                <w:bCs/>
              </w:rPr>
            </w:pPr>
            <w:r w:rsidRPr="0057355E">
              <w:rPr>
                <w:rFonts w:eastAsia="Times New Roman" w:cs="Times New Roman"/>
                <w:b/>
                <w:bCs/>
              </w:rPr>
              <w:t xml:space="preserve">Agency </w:t>
            </w:r>
            <w:r w:rsidR="00F565A5">
              <w:rPr>
                <w:rFonts w:eastAsia="Times New Roman" w:cs="Times New Roman"/>
                <w:b/>
                <w:bCs/>
              </w:rPr>
              <w:t>obligations</w:t>
            </w:r>
          </w:p>
          <w:p w14:paraId="437EC14D" w14:textId="77777777" w:rsidR="00170C9A" w:rsidRPr="0057355E" w:rsidRDefault="00170C9A" w:rsidP="0057355E">
            <w:pPr>
              <w:tabs>
                <w:tab w:val="left" w:pos="2835"/>
              </w:tabs>
              <w:rPr>
                <w:rFonts w:eastAsia="Times New Roman" w:cs="Times New Roman"/>
                <w:lang w:eastAsia="en-AU"/>
              </w:rPr>
            </w:pPr>
            <w:r w:rsidRPr="0057355E">
              <w:rPr>
                <w:rFonts w:eastAsia="Times New Roman" w:cs="Times New Roman"/>
                <w:lang w:eastAsia="en-AU"/>
              </w:rPr>
              <w:t>Consider policies and procedures that encourage robust processes, capability uplift and situational awareness</w:t>
            </w:r>
          </w:p>
        </w:tc>
        <w:tc>
          <w:tcPr>
            <w:tcW w:w="606" w:type="pct"/>
          </w:tcPr>
          <w:p w14:paraId="7842AA29" w14:textId="7949415C" w:rsidR="00170C9A" w:rsidRPr="00DD1A56" w:rsidRDefault="00F64ECE" w:rsidP="0057355E">
            <w:pPr>
              <w:rPr>
                <w:rFonts w:eastAsia="Times New Roman" w:cs="Times New Roman"/>
              </w:rPr>
            </w:pPr>
            <w:r w:rsidRPr="00DD1A56">
              <w:rPr>
                <w:rFonts w:eastAsia="Times New Roman" w:cs="Times New Roman"/>
              </w:rPr>
              <w:t xml:space="preserve">Rules </w:t>
            </w:r>
            <w:r w:rsidR="00517376">
              <w:rPr>
                <w:rFonts w:eastAsia="Times New Roman" w:cs="Times New Roman"/>
              </w:rPr>
              <w:t xml:space="preserve">6, </w:t>
            </w:r>
            <w:r w:rsidR="001130D3">
              <w:rPr>
                <w:rFonts w:eastAsia="Times New Roman" w:cs="Times New Roman"/>
              </w:rPr>
              <w:t>30,</w:t>
            </w:r>
            <w:r w:rsidR="00083751">
              <w:rPr>
                <w:rFonts w:eastAsia="Times New Roman" w:cs="Times New Roman"/>
              </w:rPr>
              <w:t xml:space="preserve"> 34,</w:t>
            </w:r>
            <w:r w:rsidR="001130D3">
              <w:rPr>
                <w:rFonts w:eastAsia="Times New Roman" w:cs="Times New Roman"/>
              </w:rPr>
              <w:t xml:space="preserve"> </w:t>
            </w:r>
            <w:r w:rsidRPr="00DD1A56">
              <w:rPr>
                <w:rFonts w:eastAsia="Times New Roman" w:cs="Times New Roman"/>
              </w:rPr>
              <w:t>40</w:t>
            </w:r>
            <w:r w:rsidR="00DD1A56" w:rsidRPr="00DD1A56">
              <w:rPr>
                <w:rFonts w:eastAsia="Times New Roman" w:cs="Times New Roman"/>
              </w:rPr>
              <w:t>, 43</w:t>
            </w:r>
          </w:p>
        </w:tc>
      </w:tr>
      <w:tr w:rsidR="00F9623A" w:rsidRPr="0057355E" w14:paraId="19452E18" w14:textId="77777777" w:rsidTr="2CB709EE">
        <w:trPr>
          <w:trHeight w:val="454"/>
        </w:trPr>
        <w:tc>
          <w:tcPr>
            <w:tcW w:w="257" w:type="pct"/>
            <w:vAlign w:val="center"/>
          </w:tcPr>
          <w:p w14:paraId="364F3E13" w14:textId="34FFD654" w:rsidR="00F9623A" w:rsidRPr="0057355E" w:rsidRDefault="00F9623A" w:rsidP="005B409F">
            <w:pPr>
              <w:spacing w:after="0"/>
              <w:jc w:val="center"/>
              <w:rPr>
                <w:rFonts w:eastAsia="Times New Roman" w:cs="Times New Roman"/>
                <w:szCs w:val="20"/>
              </w:rPr>
            </w:pPr>
            <w:r>
              <w:rPr>
                <w:rFonts w:eastAsia="Times New Roman" w:cs="Times New Roman"/>
                <w:szCs w:val="20"/>
              </w:rPr>
              <w:t>3</w:t>
            </w:r>
          </w:p>
        </w:tc>
        <w:tc>
          <w:tcPr>
            <w:tcW w:w="4743" w:type="pct"/>
            <w:gridSpan w:val="2"/>
            <w:vAlign w:val="center"/>
          </w:tcPr>
          <w:p w14:paraId="27FC6897" w14:textId="1C8BD3E5" w:rsidR="00F9623A" w:rsidRPr="00304053" w:rsidRDefault="00F9623A" w:rsidP="005B409F">
            <w:pPr>
              <w:spacing w:after="0"/>
              <w:rPr>
                <w:rFonts w:eastAsia="Times New Roman" w:cs="Times New Roman"/>
              </w:rPr>
            </w:pPr>
            <w:r>
              <w:rPr>
                <w:rFonts w:eastAsia="Times New Roman" w:cs="Times New Roman"/>
                <w:b/>
                <w:bCs/>
              </w:rPr>
              <w:t>Individual procurement obligations</w:t>
            </w:r>
          </w:p>
        </w:tc>
      </w:tr>
      <w:tr w:rsidR="00170C9A" w:rsidRPr="0057355E" w14:paraId="6325582E" w14:textId="5F2EA128" w:rsidTr="2CB709EE">
        <w:trPr>
          <w:trHeight w:val="454"/>
        </w:trPr>
        <w:tc>
          <w:tcPr>
            <w:tcW w:w="257" w:type="pct"/>
            <w:vAlign w:val="center"/>
          </w:tcPr>
          <w:p w14:paraId="25FE433E" w14:textId="6A83812C" w:rsidR="00170C9A" w:rsidRPr="0057355E" w:rsidRDefault="00170C9A" w:rsidP="00F34743">
            <w:pPr>
              <w:jc w:val="center"/>
              <w:rPr>
                <w:rFonts w:eastAsia="Times New Roman" w:cs="Times New Roman"/>
                <w:szCs w:val="20"/>
              </w:rPr>
            </w:pPr>
            <w:r w:rsidRPr="0057355E">
              <w:rPr>
                <w:rFonts w:eastAsia="Times New Roman" w:cs="Times New Roman"/>
                <w:szCs w:val="20"/>
              </w:rPr>
              <w:t>3</w:t>
            </w:r>
            <w:r w:rsidR="00E64452">
              <w:rPr>
                <w:rFonts w:eastAsia="Times New Roman" w:cs="Times New Roman"/>
                <w:szCs w:val="20"/>
              </w:rPr>
              <w:t>.1</w:t>
            </w:r>
          </w:p>
        </w:tc>
        <w:tc>
          <w:tcPr>
            <w:tcW w:w="4137" w:type="pct"/>
            <w:vAlign w:val="center"/>
          </w:tcPr>
          <w:p w14:paraId="26666449" w14:textId="2F730082" w:rsidR="00170C9A" w:rsidRPr="0057355E" w:rsidRDefault="00170C9A" w:rsidP="0057355E">
            <w:pPr>
              <w:spacing w:after="60"/>
              <w:rPr>
                <w:rFonts w:eastAsia="Times New Roman" w:cs="Times New Roman"/>
                <w:b/>
                <w:bCs/>
              </w:rPr>
            </w:pPr>
            <w:r w:rsidRPr="0057355E">
              <w:rPr>
                <w:rFonts w:eastAsia="Times New Roman" w:cs="Times New Roman"/>
                <w:b/>
                <w:bCs/>
              </w:rPr>
              <w:t>Procurement planning</w:t>
            </w:r>
          </w:p>
          <w:p w14:paraId="4122184A" w14:textId="77777777" w:rsidR="00170C9A" w:rsidRPr="0057355E" w:rsidRDefault="00170C9A" w:rsidP="0057355E">
            <w:pPr>
              <w:numPr>
                <w:ilvl w:val="0"/>
                <w:numId w:val="30"/>
              </w:numPr>
              <w:tabs>
                <w:tab w:val="left" w:pos="2835"/>
              </w:tabs>
              <w:spacing w:after="60"/>
              <w:contextualSpacing/>
              <w:rPr>
                <w:rFonts w:eastAsia="Times New Roman" w:cs="Times New Roman"/>
                <w:lang w:eastAsia="en-AU"/>
              </w:rPr>
            </w:pPr>
            <w:r w:rsidRPr="0057355E">
              <w:rPr>
                <w:rFonts w:eastAsia="Times New Roman" w:cs="Times New Roman"/>
                <w:lang w:eastAsia="en-AU"/>
              </w:rPr>
              <w:t>Ensure accessibility is a procurement objective</w:t>
            </w:r>
          </w:p>
          <w:p w14:paraId="7CAFDB0C" w14:textId="7D627784" w:rsidR="00C30028" w:rsidRPr="0057355E" w:rsidRDefault="00170C9A" w:rsidP="0057355E">
            <w:pPr>
              <w:numPr>
                <w:ilvl w:val="0"/>
                <w:numId w:val="30"/>
              </w:numPr>
              <w:tabs>
                <w:tab w:val="left" w:pos="2835"/>
              </w:tabs>
              <w:spacing w:after="60"/>
              <w:contextualSpacing/>
              <w:rPr>
                <w:rFonts w:eastAsia="Times New Roman" w:cs="Times New Roman"/>
                <w:i/>
                <w:iCs/>
                <w:lang w:eastAsia="en-AU"/>
              </w:rPr>
            </w:pPr>
            <w:r w:rsidRPr="0057355E">
              <w:rPr>
                <w:rFonts w:eastAsia="Times New Roman" w:cs="Times New Roman"/>
                <w:lang w:eastAsia="en-AU"/>
              </w:rPr>
              <w:t xml:space="preserve">Consider the </w:t>
            </w:r>
            <w:hyperlink r:id="rId21" w:history="1">
              <w:r w:rsidRPr="0057355E">
                <w:rPr>
                  <w:rFonts w:eastAsia="Times New Roman" w:cs="Arial"/>
                  <w:i/>
                  <w:iCs/>
                  <w:color w:val="467886"/>
                  <w:szCs w:val="20"/>
                  <w:u w:val="single"/>
                </w:rPr>
                <w:t>Queensland Disability Stakeholder Engagement and Co-design Strategy</w:t>
              </w:r>
            </w:hyperlink>
            <w:r>
              <w:rPr>
                <w:rFonts w:eastAsia="Times New Roman" w:cs="Arial"/>
                <w:i/>
                <w:iCs/>
                <w:szCs w:val="20"/>
              </w:rPr>
              <w:t xml:space="preserve"> </w:t>
            </w:r>
            <w:r>
              <w:rPr>
                <w:rFonts w:eastAsia="Times New Roman" w:cs="Arial"/>
                <w:szCs w:val="20"/>
              </w:rPr>
              <w:t>(SEC Strategy)</w:t>
            </w:r>
          </w:p>
          <w:p w14:paraId="3864CDF7" w14:textId="3AA3CFCA" w:rsidR="00170C9A" w:rsidRPr="005B409F" w:rsidRDefault="00170C9A" w:rsidP="003F2DE3">
            <w:pPr>
              <w:numPr>
                <w:ilvl w:val="0"/>
                <w:numId w:val="30"/>
              </w:numPr>
              <w:tabs>
                <w:tab w:val="left" w:pos="2835"/>
              </w:tabs>
              <w:spacing w:after="60"/>
              <w:contextualSpacing/>
              <w:rPr>
                <w:rFonts w:cs="Arial"/>
                <w:szCs w:val="20"/>
              </w:rPr>
            </w:pPr>
            <w:r w:rsidRPr="00C30028">
              <w:rPr>
                <w:rFonts w:eastAsia="Times New Roman" w:cs="Times New Roman"/>
                <w:lang w:eastAsia="en-AU"/>
              </w:rPr>
              <w:t>Plan the level of participation, timing and frequency of engagement</w:t>
            </w:r>
            <w:r w:rsidR="00DE5B93">
              <w:rPr>
                <w:rFonts w:eastAsia="Times New Roman" w:cs="Times New Roman"/>
                <w:lang w:eastAsia="en-AU"/>
              </w:rPr>
              <w:t xml:space="preserve"> with the disability sector</w:t>
            </w:r>
            <w:r w:rsidR="003F2DE3">
              <w:rPr>
                <w:rFonts w:cs="Times New Roman"/>
                <w:lang w:eastAsia="en-AU"/>
              </w:rPr>
              <w:t xml:space="preserve"> to enable</w:t>
            </w:r>
            <w:r w:rsidR="0023639A">
              <w:rPr>
                <w:rFonts w:cs="Times New Roman"/>
                <w:lang w:eastAsia="en-AU"/>
              </w:rPr>
              <w:t xml:space="preserve"> the sector to</w:t>
            </w:r>
            <w:r w:rsidR="00C30028" w:rsidRPr="003F2DE3">
              <w:rPr>
                <w:rFonts w:cs="Arial"/>
                <w:szCs w:val="20"/>
              </w:rPr>
              <w:t xml:space="preserve"> inform and/or co-design all stages of the procurement lifecycle</w:t>
            </w:r>
          </w:p>
          <w:p w14:paraId="107C4084" w14:textId="77777777" w:rsidR="00AF63EE" w:rsidRDefault="00170C9A" w:rsidP="0057355E">
            <w:pPr>
              <w:numPr>
                <w:ilvl w:val="0"/>
                <w:numId w:val="30"/>
              </w:numPr>
              <w:tabs>
                <w:tab w:val="left" w:pos="2835"/>
              </w:tabs>
              <w:spacing w:after="60"/>
              <w:contextualSpacing/>
              <w:rPr>
                <w:rFonts w:eastAsia="Times New Roman" w:cs="Times New Roman"/>
                <w:lang w:eastAsia="en-AU"/>
              </w:rPr>
            </w:pPr>
            <w:r w:rsidRPr="0057355E">
              <w:rPr>
                <w:rFonts w:eastAsia="Times New Roman" w:cs="Times New Roman"/>
                <w:lang w:eastAsia="en-AU"/>
              </w:rPr>
              <w:t>Identify capable and competitive</w:t>
            </w:r>
            <w:r w:rsidR="00AF63EE">
              <w:rPr>
                <w:rFonts w:eastAsia="Times New Roman" w:cs="Times New Roman"/>
                <w:lang w:eastAsia="en-AU"/>
              </w:rPr>
              <w:t>:</w:t>
            </w:r>
            <w:r w:rsidRPr="0057355E">
              <w:rPr>
                <w:rFonts w:eastAsia="Times New Roman" w:cs="Times New Roman"/>
                <w:lang w:eastAsia="en-AU"/>
              </w:rPr>
              <w:t xml:space="preserve"> </w:t>
            </w:r>
          </w:p>
          <w:p w14:paraId="61085C36" w14:textId="37D56479" w:rsidR="00AF63EE" w:rsidRPr="005B409F" w:rsidRDefault="00170C9A" w:rsidP="00AF63EE">
            <w:pPr>
              <w:numPr>
                <w:ilvl w:val="1"/>
                <w:numId w:val="30"/>
              </w:numPr>
              <w:tabs>
                <w:tab w:val="left" w:pos="2835"/>
              </w:tabs>
              <w:spacing w:after="60"/>
              <w:contextualSpacing/>
              <w:rPr>
                <w:rFonts w:eastAsia="Times New Roman" w:cs="Times New Roman"/>
                <w:lang w:eastAsia="en-AU"/>
              </w:rPr>
            </w:pPr>
            <w:hyperlink r:id="rId22" w:history="1">
              <w:r w:rsidRPr="007E7C2D">
                <w:rPr>
                  <w:rStyle w:val="Hyperlink"/>
                  <w:rFonts w:cs="Arial"/>
                  <w:szCs w:val="20"/>
                </w:rPr>
                <w:t>Australian Disability Enterprises</w:t>
              </w:r>
            </w:hyperlink>
            <w:r>
              <w:t xml:space="preserve"> (ADEs)</w:t>
            </w:r>
          </w:p>
          <w:p w14:paraId="1E42C26D" w14:textId="7A48A486" w:rsidR="00466A8E" w:rsidRPr="006C619B" w:rsidRDefault="00466A8E" w:rsidP="005B409F">
            <w:pPr>
              <w:numPr>
                <w:ilvl w:val="1"/>
                <w:numId w:val="30"/>
              </w:numPr>
              <w:tabs>
                <w:tab w:val="left" w:pos="2835"/>
              </w:tabs>
              <w:spacing w:after="60"/>
              <w:contextualSpacing/>
              <w:rPr>
                <w:rFonts w:eastAsia="Times New Roman" w:cs="Times New Roman"/>
                <w:lang w:eastAsia="en-AU"/>
              </w:rPr>
            </w:pPr>
            <w:r>
              <w:rPr>
                <w:lang w:eastAsia="en-AU"/>
              </w:rPr>
              <w:t>Disability-owned businesses</w:t>
            </w:r>
            <w:r w:rsidR="006C619B">
              <w:rPr>
                <w:lang w:eastAsia="en-AU"/>
              </w:rPr>
              <w:t xml:space="preserve"> and s</w:t>
            </w:r>
            <w:r w:rsidRPr="006C619B">
              <w:rPr>
                <w:rFonts w:cs="Times New Roman"/>
                <w:lang w:eastAsia="en-AU"/>
              </w:rPr>
              <w:t>ocial enterprises that specialise in accessible and inclusive goods and/or services</w:t>
            </w:r>
          </w:p>
          <w:p w14:paraId="0801F6EC" w14:textId="371BB003" w:rsidR="00170C9A" w:rsidRPr="0057355E" w:rsidRDefault="006339CD" w:rsidP="0057355E">
            <w:pPr>
              <w:numPr>
                <w:ilvl w:val="0"/>
                <w:numId w:val="30"/>
              </w:numPr>
              <w:tabs>
                <w:tab w:val="left" w:pos="2835"/>
              </w:tabs>
              <w:spacing w:after="60"/>
              <w:contextualSpacing/>
              <w:rPr>
                <w:rFonts w:eastAsia="Times New Roman" w:cs="Times New Roman"/>
                <w:lang w:eastAsia="en-AU"/>
              </w:rPr>
            </w:pPr>
            <w:r>
              <w:rPr>
                <w:rFonts w:eastAsia="Times New Roman" w:cs="Times New Roman"/>
                <w:lang w:eastAsia="en-AU"/>
              </w:rPr>
              <w:t>C</w:t>
            </w:r>
            <w:r w:rsidR="00170C9A" w:rsidRPr="0057355E">
              <w:rPr>
                <w:rFonts w:eastAsia="Times New Roman" w:cs="Times New Roman"/>
                <w:lang w:eastAsia="en-AU"/>
              </w:rPr>
              <w:t>onsider</w:t>
            </w:r>
            <w:r>
              <w:rPr>
                <w:rFonts w:eastAsia="Times New Roman" w:cs="Times New Roman"/>
                <w:lang w:eastAsia="en-AU"/>
              </w:rPr>
              <w:t xml:space="preserve"> using</w:t>
            </w:r>
            <w:r w:rsidR="00170C9A" w:rsidRPr="0057355E">
              <w:rPr>
                <w:rFonts w:eastAsia="Times New Roman" w:cs="Times New Roman"/>
                <w:lang w:eastAsia="en-AU"/>
              </w:rPr>
              <w:t xml:space="preserve"> flexible procurement</w:t>
            </w:r>
            <w:r>
              <w:rPr>
                <w:rFonts w:eastAsia="Times New Roman" w:cs="Times New Roman"/>
                <w:lang w:eastAsia="en-AU"/>
              </w:rPr>
              <w:t xml:space="preserve"> techniques</w:t>
            </w:r>
          </w:p>
          <w:p w14:paraId="650DF2B8" w14:textId="15B26EC5" w:rsidR="00170C9A" w:rsidRPr="00754436" w:rsidRDefault="00170C9A" w:rsidP="00754436">
            <w:pPr>
              <w:numPr>
                <w:ilvl w:val="0"/>
                <w:numId w:val="30"/>
              </w:numPr>
              <w:tabs>
                <w:tab w:val="left" w:pos="2835"/>
              </w:tabs>
              <w:spacing w:after="60"/>
              <w:contextualSpacing/>
              <w:rPr>
                <w:rFonts w:eastAsia="Times New Roman" w:cs="Times New Roman"/>
                <w:lang w:eastAsia="en-AU"/>
              </w:rPr>
            </w:pPr>
            <w:r w:rsidRPr="0057355E">
              <w:rPr>
                <w:rFonts w:eastAsia="Times New Roman" w:cs="Times New Roman"/>
                <w:lang w:eastAsia="en-AU"/>
              </w:rPr>
              <w:t>Include accessibility as part of risk assessment</w:t>
            </w:r>
          </w:p>
        </w:tc>
        <w:tc>
          <w:tcPr>
            <w:tcW w:w="606" w:type="pct"/>
          </w:tcPr>
          <w:p w14:paraId="1AE95E5D" w14:textId="31F1D49B" w:rsidR="00170C9A" w:rsidRPr="00304053" w:rsidRDefault="00297310" w:rsidP="0057355E">
            <w:pPr>
              <w:spacing w:after="60"/>
              <w:rPr>
                <w:rFonts w:eastAsia="Times New Roman" w:cs="Times New Roman"/>
              </w:rPr>
            </w:pPr>
            <w:r w:rsidRPr="00304053">
              <w:rPr>
                <w:rFonts w:eastAsia="Times New Roman" w:cs="Times New Roman"/>
              </w:rPr>
              <w:t>Rule</w:t>
            </w:r>
            <w:r w:rsidR="003E0C5B" w:rsidRPr="00304053">
              <w:rPr>
                <w:rFonts w:eastAsia="Times New Roman" w:cs="Times New Roman"/>
              </w:rPr>
              <w:t>s</w:t>
            </w:r>
            <w:r w:rsidRPr="00304053">
              <w:rPr>
                <w:rFonts w:eastAsia="Times New Roman" w:cs="Times New Roman"/>
              </w:rPr>
              <w:t xml:space="preserve"> 1</w:t>
            </w:r>
            <w:r w:rsidR="003E0C5B" w:rsidRPr="00304053">
              <w:rPr>
                <w:rFonts w:eastAsia="Times New Roman" w:cs="Times New Roman"/>
              </w:rPr>
              <w:t xml:space="preserve"> - </w:t>
            </w:r>
            <w:r w:rsidR="00253FE9">
              <w:rPr>
                <w:rFonts w:eastAsia="Times New Roman" w:cs="Times New Roman"/>
              </w:rPr>
              <w:t>6</w:t>
            </w:r>
            <w:r w:rsidR="003E0C5B" w:rsidRPr="00304053">
              <w:rPr>
                <w:rFonts w:eastAsia="Times New Roman" w:cs="Times New Roman"/>
              </w:rPr>
              <w:t>,</w:t>
            </w:r>
            <w:r w:rsidR="00FC623F">
              <w:rPr>
                <w:rFonts w:eastAsia="Times New Roman" w:cs="Times New Roman"/>
              </w:rPr>
              <w:t xml:space="preserve"> 10,</w:t>
            </w:r>
            <w:r w:rsidR="00253FE9">
              <w:rPr>
                <w:rFonts w:eastAsia="Times New Roman" w:cs="Times New Roman"/>
              </w:rPr>
              <w:t xml:space="preserve"> 18</w:t>
            </w:r>
            <w:r w:rsidR="00307CFB">
              <w:rPr>
                <w:rFonts w:eastAsia="Times New Roman" w:cs="Times New Roman"/>
              </w:rPr>
              <w:t>, 20</w:t>
            </w:r>
            <w:r w:rsidR="005C3B73">
              <w:rPr>
                <w:rFonts w:eastAsia="Times New Roman" w:cs="Times New Roman"/>
              </w:rPr>
              <w:t>, 34</w:t>
            </w:r>
            <w:r w:rsidR="003E0C5B" w:rsidRPr="00304053">
              <w:rPr>
                <w:rFonts w:eastAsia="Times New Roman" w:cs="Times New Roman"/>
              </w:rPr>
              <w:t xml:space="preserve">  </w:t>
            </w:r>
          </w:p>
        </w:tc>
      </w:tr>
      <w:tr w:rsidR="00170C9A" w:rsidRPr="0057355E" w14:paraId="4B70B26D" w14:textId="0480B6CB" w:rsidTr="2CB709EE">
        <w:trPr>
          <w:trHeight w:val="454"/>
        </w:trPr>
        <w:tc>
          <w:tcPr>
            <w:tcW w:w="257" w:type="pct"/>
            <w:vAlign w:val="center"/>
          </w:tcPr>
          <w:p w14:paraId="2AB4C6A9" w14:textId="565B7D6D" w:rsidR="00170C9A" w:rsidRPr="0057355E" w:rsidRDefault="00E64452" w:rsidP="00F34743">
            <w:pPr>
              <w:jc w:val="center"/>
              <w:rPr>
                <w:rFonts w:eastAsia="Times New Roman" w:cs="Times New Roman"/>
                <w:szCs w:val="20"/>
              </w:rPr>
            </w:pPr>
            <w:r>
              <w:rPr>
                <w:rFonts w:eastAsia="Times New Roman" w:cs="Times New Roman"/>
                <w:szCs w:val="20"/>
              </w:rPr>
              <w:t>3.2</w:t>
            </w:r>
          </w:p>
        </w:tc>
        <w:tc>
          <w:tcPr>
            <w:tcW w:w="4137" w:type="pct"/>
            <w:vAlign w:val="center"/>
          </w:tcPr>
          <w:p w14:paraId="74361516" w14:textId="5904AA21" w:rsidR="00170C9A" w:rsidRPr="0057355E" w:rsidRDefault="00170C9A" w:rsidP="0057355E">
            <w:pPr>
              <w:tabs>
                <w:tab w:val="left" w:pos="2835"/>
              </w:tabs>
              <w:spacing w:after="60"/>
              <w:rPr>
                <w:rFonts w:eastAsia="Times New Roman" w:cs="Times New Roman"/>
                <w:lang w:eastAsia="en-AU"/>
              </w:rPr>
            </w:pPr>
            <w:r w:rsidRPr="0057355E">
              <w:rPr>
                <w:rFonts w:eastAsia="Times New Roman" w:cs="Times New Roman"/>
                <w:b/>
                <w:bCs/>
              </w:rPr>
              <w:t xml:space="preserve">Go to market </w:t>
            </w:r>
            <w:r w:rsidRPr="0057355E">
              <w:rPr>
                <w:rFonts w:eastAsia="Times New Roman" w:cs="Times New Roman"/>
                <w:lang w:eastAsia="en-AU"/>
              </w:rPr>
              <w:t xml:space="preserve">  </w:t>
            </w:r>
          </w:p>
          <w:p w14:paraId="32961F45" w14:textId="26EFD8E1" w:rsidR="00754436" w:rsidRDefault="00754436" w:rsidP="0057355E">
            <w:pPr>
              <w:numPr>
                <w:ilvl w:val="0"/>
                <w:numId w:val="31"/>
              </w:numPr>
              <w:tabs>
                <w:tab w:val="left" w:pos="2835"/>
              </w:tabs>
              <w:spacing w:after="60"/>
              <w:contextualSpacing/>
              <w:rPr>
                <w:rFonts w:eastAsia="Times New Roman" w:cs="Times New Roman"/>
                <w:lang w:eastAsia="en-AU"/>
              </w:rPr>
            </w:pPr>
            <w:r w:rsidRPr="0057355E">
              <w:rPr>
                <w:rFonts w:eastAsia="Times New Roman" w:cs="Times New Roman"/>
                <w:lang w:eastAsia="en-AU"/>
              </w:rPr>
              <w:t>Develop specifications which are compliant with relevant legislation and disability standards</w:t>
            </w:r>
          </w:p>
          <w:p w14:paraId="422767BE" w14:textId="66CF1CF0" w:rsidR="00170C9A" w:rsidRPr="00C32411" w:rsidRDefault="00170C9A" w:rsidP="0057355E">
            <w:pPr>
              <w:numPr>
                <w:ilvl w:val="0"/>
                <w:numId w:val="31"/>
              </w:numPr>
              <w:tabs>
                <w:tab w:val="left" w:pos="2835"/>
              </w:tabs>
              <w:spacing w:after="60"/>
              <w:contextualSpacing/>
              <w:rPr>
                <w:rFonts w:eastAsia="Times New Roman" w:cs="Times New Roman"/>
                <w:lang w:eastAsia="en-AU"/>
              </w:rPr>
            </w:pPr>
            <w:r w:rsidRPr="0057355E">
              <w:rPr>
                <w:rFonts w:eastAsia="Times New Roman" w:cs="Times New Roman"/>
                <w:lang w:eastAsia="en-AU"/>
              </w:rPr>
              <w:t xml:space="preserve">Include a mandatory evaluation criterion requiring offerors to warrant compliance with the </w:t>
            </w:r>
            <w:hyperlink r:id="rId23" w:history="1">
              <w:r w:rsidRPr="0057355E">
                <w:rPr>
                  <w:rStyle w:val="Hyperlink"/>
                  <w:rFonts w:eastAsia="Times New Roman" w:cs="Times New Roman"/>
                  <w:i/>
                  <w:iCs/>
                  <w:lang w:eastAsia="en-AU"/>
                </w:rPr>
                <w:t>Queensland Government Supplier Code of Conduct</w:t>
              </w:r>
            </w:hyperlink>
            <w:r>
              <w:rPr>
                <w:rFonts w:eastAsia="Times New Roman" w:cs="Times New Roman"/>
                <w:i/>
                <w:iCs/>
                <w:lang w:eastAsia="en-AU"/>
              </w:rPr>
              <w:t xml:space="preserve"> </w:t>
            </w:r>
            <w:r>
              <w:rPr>
                <w:rFonts w:eastAsia="Times New Roman" w:cs="Times New Roman"/>
                <w:lang w:eastAsia="en-AU"/>
              </w:rPr>
              <w:t>(Code)</w:t>
            </w:r>
            <w:r w:rsidRPr="0057355E">
              <w:rPr>
                <w:rFonts w:eastAsia="Times New Roman" w:cs="Times New Roman"/>
                <w:lang w:eastAsia="en-AU"/>
              </w:rPr>
              <w:t xml:space="preserve">, including the </w:t>
            </w:r>
            <w:r>
              <w:rPr>
                <w:rFonts w:eastAsia="Times New Roman" w:cs="Times New Roman"/>
                <w:lang w:eastAsia="en-AU"/>
              </w:rPr>
              <w:t>DDA</w:t>
            </w:r>
            <w:r w:rsidRPr="0057355E">
              <w:rPr>
                <w:rFonts w:eastAsia="Times New Roman" w:cs="Times New Roman"/>
                <w:lang w:eastAsia="en-AU"/>
              </w:rPr>
              <w:t xml:space="preserve"> and </w:t>
            </w:r>
            <w:r w:rsidRPr="001A4217">
              <w:rPr>
                <w:i/>
                <w:iCs/>
              </w:rPr>
              <w:t>Disability Standards and Guidelines</w:t>
            </w:r>
          </w:p>
          <w:p w14:paraId="31A14FF3" w14:textId="3C3C3596" w:rsidR="00170C9A" w:rsidRPr="0057355E" w:rsidRDefault="00170C9A" w:rsidP="0057355E">
            <w:pPr>
              <w:numPr>
                <w:ilvl w:val="0"/>
                <w:numId w:val="31"/>
              </w:numPr>
              <w:tabs>
                <w:tab w:val="left" w:pos="2835"/>
              </w:tabs>
              <w:spacing w:after="60"/>
              <w:contextualSpacing/>
              <w:rPr>
                <w:rFonts w:eastAsia="Times New Roman" w:cs="Times New Roman"/>
                <w:lang w:eastAsia="en-AU"/>
              </w:rPr>
            </w:pPr>
            <w:r w:rsidRPr="0057355E">
              <w:rPr>
                <w:rFonts w:eastAsia="Times New Roman" w:cs="Times New Roman"/>
                <w:lang w:eastAsia="en-AU"/>
              </w:rPr>
              <w:t>Request offerors to demonstrate compliance with requirements under relevant legislation, how equi</w:t>
            </w:r>
            <w:r w:rsidR="009560B6">
              <w:rPr>
                <w:rFonts w:eastAsia="Times New Roman" w:cs="Times New Roman"/>
                <w:lang w:eastAsia="en-AU"/>
              </w:rPr>
              <w:t>table</w:t>
            </w:r>
            <w:r w:rsidRPr="0057355E">
              <w:rPr>
                <w:rFonts w:eastAsia="Times New Roman" w:cs="Times New Roman"/>
                <w:lang w:eastAsia="en-AU"/>
              </w:rPr>
              <w:t xml:space="preserve"> access will be achieved and/or how minimum standards have been exceeded to achieve greater accessibility</w:t>
            </w:r>
          </w:p>
          <w:p w14:paraId="1484F326" w14:textId="104AEFAF" w:rsidR="00170C9A" w:rsidRPr="0057355E" w:rsidRDefault="00170C9A" w:rsidP="0057355E">
            <w:pPr>
              <w:numPr>
                <w:ilvl w:val="0"/>
                <w:numId w:val="31"/>
              </w:numPr>
              <w:tabs>
                <w:tab w:val="left" w:pos="2835"/>
              </w:tabs>
              <w:spacing w:after="60"/>
              <w:contextualSpacing/>
              <w:rPr>
                <w:rFonts w:eastAsia="Times New Roman" w:cs="Times New Roman"/>
                <w:lang w:eastAsia="en-AU"/>
              </w:rPr>
            </w:pPr>
            <w:r w:rsidRPr="0057355E">
              <w:rPr>
                <w:rFonts w:eastAsia="Times New Roman" w:cs="Times New Roman"/>
                <w:lang w:eastAsia="en-AU"/>
              </w:rPr>
              <w:t>Make invitation documents available in an accessible format</w:t>
            </w:r>
            <w:r w:rsidR="00587261">
              <w:rPr>
                <w:rFonts w:eastAsia="Times New Roman" w:cs="Times New Roman"/>
                <w:lang w:eastAsia="en-AU"/>
              </w:rPr>
              <w:t xml:space="preserve"> (e.g. </w:t>
            </w:r>
            <w:r w:rsidR="00587261">
              <w:rPr>
                <w:rFonts w:cs="Arial"/>
                <w:szCs w:val="20"/>
              </w:rPr>
              <w:t xml:space="preserve">compliance with </w:t>
            </w:r>
            <w:hyperlink r:id="rId24" w:history="1">
              <w:r w:rsidR="00587261" w:rsidRPr="00587261">
                <w:rPr>
                  <w:rStyle w:val="Hyperlink"/>
                  <w:rFonts w:cs="Arial"/>
                  <w:szCs w:val="20"/>
                </w:rPr>
                <w:t>Web Content Accessibility Guidelines 2.1</w:t>
              </w:r>
            </w:hyperlink>
            <w:r w:rsidR="00587261">
              <w:rPr>
                <w:rFonts w:cs="Arial"/>
                <w:szCs w:val="20"/>
              </w:rPr>
              <w:t xml:space="preserve"> and the </w:t>
            </w:r>
            <w:hyperlink r:id="rId25" w:history="1">
              <w:r w:rsidR="00587261" w:rsidRPr="00587261">
                <w:rPr>
                  <w:rStyle w:val="Hyperlink"/>
                  <w:rFonts w:cs="Arial"/>
                  <w:szCs w:val="20"/>
                </w:rPr>
                <w:t>Digital Service Standard</w:t>
              </w:r>
            </w:hyperlink>
            <w:r w:rsidR="00587261">
              <w:rPr>
                <w:rFonts w:cs="Arial"/>
                <w:szCs w:val="20"/>
              </w:rPr>
              <w:t>)</w:t>
            </w:r>
          </w:p>
        </w:tc>
        <w:tc>
          <w:tcPr>
            <w:tcW w:w="606" w:type="pct"/>
          </w:tcPr>
          <w:p w14:paraId="58F12E89" w14:textId="35A67A06" w:rsidR="00170C9A" w:rsidRPr="00AC4672" w:rsidRDefault="006C54B2" w:rsidP="0057355E">
            <w:pPr>
              <w:tabs>
                <w:tab w:val="left" w:pos="2835"/>
              </w:tabs>
              <w:spacing w:after="60"/>
              <w:rPr>
                <w:rFonts w:eastAsia="Times New Roman" w:cs="Times New Roman"/>
              </w:rPr>
            </w:pPr>
            <w:r w:rsidRPr="00AC4672">
              <w:rPr>
                <w:rFonts w:eastAsia="Times New Roman" w:cs="Times New Roman"/>
              </w:rPr>
              <w:t xml:space="preserve">Rules </w:t>
            </w:r>
            <w:r w:rsidR="00E9129D" w:rsidRPr="00AC4672">
              <w:rPr>
                <w:rFonts w:eastAsia="Times New Roman" w:cs="Times New Roman"/>
              </w:rPr>
              <w:t>9, 16</w:t>
            </w:r>
            <w:r w:rsidR="00BD187D">
              <w:rPr>
                <w:rFonts w:eastAsia="Times New Roman" w:cs="Times New Roman"/>
              </w:rPr>
              <w:t>, 20</w:t>
            </w:r>
          </w:p>
        </w:tc>
      </w:tr>
      <w:tr w:rsidR="00170C9A" w:rsidRPr="0057355E" w14:paraId="5C0D7920" w14:textId="26458DF9" w:rsidTr="2CB709EE">
        <w:trPr>
          <w:trHeight w:val="454"/>
        </w:trPr>
        <w:tc>
          <w:tcPr>
            <w:tcW w:w="257" w:type="pct"/>
            <w:vAlign w:val="center"/>
          </w:tcPr>
          <w:p w14:paraId="3D79CD39" w14:textId="769B956B" w:rsidR="00170C9A" w:rsidRPr="0057355E" w:rsidRDefault="00E64452" w:rsidP="00F34743">
            <w:pPr>
              <w:jc w:val="center"/>
              <w:rPr>
                <w:rFonts w:eastAsia="Times New Roman" w:cs="Times New Roman"/>
                <w:szCs w:val="20"/>
              </w:rPr>
            </w:pPr>
            <w:r>
              <w:rPr>
                <w:rFonts w:eastAsia="Times New Roman" w:cs="Times New Roman"/>
                <w:szCs w:val="20"/>
              </w:rPr>
              <w:lastRenderedPageBreak/>
              <w:t>3.3</w:t>
            </w:r>
          </w:p>
        </w:tc>
        <w:tc>
          <w:tcPr>
            <w:tcW w:w="4137" w:type="pct"/>
            <w:vAlign w:val="center"/>
          </w:tcPr>
          <w:p w14:paraId="04C2E472" w14:textId="3794BE6B" w:rsidR="00170C9A" w:rsidRPr="0057355E" w:rsidRDefault="00170C9A" w:rsidP="0057355E">
            <w:pPr>
              <w:tabs>
                <w:tab w:val="left" w:pos="2835"/>
              </w:tabs>
              <w:spacing w:after="60"/>
              <w:rPr>
                <w:rFonts w:eastAsia="Times New Roman" w:cs="Times New Roman"/>
                <w:b/>
                <w:bCs/>
              </w:rPr>
            </w:pPr>
            <w:r w:rsidRPr="0057355E">
              <w:rPr>
                <w:rFonts w:eastAsia="Times New Roman" w:cs="Times New Roman"/>
                <w:b/>
                <w:bCs/>
              </w:rPr>
              <w:t>Evaluation and award</w:t>
            </w:r>
          </w:p>
          <w:p w14:paraId="43C289A2" w14:textId="77777777" w:rsidR="00170C9A" w:rsidRPr="0057355E" w:rsidRDefault="00170C9A" w:rsidP="0057355E">
            <w:pPr>
              <w:numPr>
                <w:ilvl w:val="0"/>
                <w:numId w:val="32"/>
              </w:numPr>
              <w:tabs>
                <w:tab w:val="left" w:pos="2835"/>
              </w:tabs>
              <w:spacing w:after="60"/>
              <w:contextualSpacing/>
              <w:rPr>
                <w:rFonts w:eastAsia="Times New Roman" w:cs="Times New Roman"/>
                <w:lang w:eastAsia="en-AU"/>
              </w:rPr>
            </w:pPr>
            <w:r w:rsidRPr="0057355E">
              <w:rPr>
                <w:rFonts w:eastAsia="Times New Roman" w:cs="Times New Roman"/>
                <w:lang w:eastAsia="en-AU"/>
              </w:rPr>
              <w:t>Outline how accessibility requirements will be evaluated</w:t>
            </w:r>
          </w:p>
          <w:p w14:paraId="1926E9BD" w14:textId="77777777" w:rsidR="00170C9A" w:rsidRPr="0057355E" w:rsidRDefault="00170C9A" w:rsidP="0057355E">
            <w:pPr>
              <w:numPr>
                <w:ilvl w:val="0"/>
                <w:numId w:val="32"/>
              </w:numPr>
              <w:tabs>
                <w:tab w:val="left" w:pos="2835"/>
              </w:tabs>
              <w:spacing w:after="60"/>
              <w:contextualSpacing/>
              <w:rPr>
                <w:rFonts w:eastAsia="Times New Roman" w:cs="Times New Roman"/>
                <w:lang w:eastAsia="en-AU"/>
              </w:rPr>
            </w:pPr>
            <w:r w:rsidRPr="0057355E">
              <w:rPr>
                <w:rFonts w:eastAsia="Times New Roman" w:cs="Times New Roman"/>
                <w:lang w:eastAsia="en-AU"/>
              </w:rPr>
              <w:t>Include a person/s with disability during the evaluation process to enable offers to be evaluated for accessibility compliance</w:t>
            </w:r>
          </w:p>
          <w:p w14:paraId="04E1C1FE" w14:textId="77777777" w:rsidR="00170C9A" w:rsidRPr="0057355E" w:rsidRDefault="00170C9A" w:rsidP="0057355E">
            <w:pPr>
              <w:numPr>
                <w:ilvl w:val="0"/>
                <w:numId w:val="32"/>
              </w:numPr>
              <w:tabs>
                <w:tab w:val="left" w:pos="2835"/>
              </w:tabs>
              <w:spacing w:after="60"/>
              <w:contextualSpacing/>
              <w:rPr>
                <w:rFonts w:eastAsia="Times New Roman" w:cs="Times New Roman"/>
                <w:lang w:eastAsia="en-AU"/>
              </w:rPr>
            </w:pPr>
            <w:r w:rsidRPr="0057355E">
              <w:rPr>
                <w:rFonts w:eastAsia="Times New Roman" w:cs="Times New Roman"/>
                <w:lang w:eastAsia="en-AU"/>
              </w:rPr>
              <w:t>Include in the evaluation report information on how the goods and/or services will be accessible and advance the interests/improve outcomes for people with disability</w:t>
            </w:r>
          </w:p>
          <w:p w14:paraId="63DBE7F1" w14:textId="7F0E26E8" w:rsidR="00170C9A" w:rsidRPr="0057355E" w:rsidRDefault="00170C9A" w:rsidP="0057355E">
            <w:pPr>
              <w:numPr>
                <w:ilvl w:val="0"/>
                <w:numId w:val="32"/>
              </w:numPr>
              <w:tabs>
                <w:tab w:val="left" w:pos="2835"/>
              </w:tabs>
              <w:spacing w:after="60"/>
              <w:contextualSpacing/>
              <w:rPr>
                <w:rFonts w:eastAsia="Times New Roman" w:cs="Times New Roman"/>
                <w:lang w:eastAsia="en-AU"/>
              </w:rPr>
            </w:pPr>
            <w:r w:rsidRPr="0057355E">
              <w:rPr>
                <w:rFonts w:eastAsia="Times New Roman" w:cs="Times New Roman"/>
                <w:lang w:eastAsia="en-AU"/>
              </w:rPr>
              <w:t xml:space="preserve">Capture all relevant commitments made by the offeror with regards to the </w:t>
            </w:r>
            <w:r>
              <w:rPr>
                <w:rFonts w:eastAsia="Times New Roman" w:cs="Times New Roman"/>
                <w:lang w:eastAsia="en-AU"/>
              </w:rPr>
              <w:t>Code</w:t>
            </w:r>
            <w:r w:rsidRPr="0057355E">
              <w:rPr>
                <w:rFonts w:eastAsia="Times New Roman" w:cs="Times New Roman"/>
                <w:lang w:eastAsia="en-AU"/>
              </w:rPr>
              <w:t xml:space="preserve">, noting the contract must include a condition requiring ongoing compliance with the </w:t>
            </w:r>
            <w:r>
              <w:rPr>
                <w:rFonts w:eastAsia="Times New Roman" w:cs="Times New Roman"/>
                <w:lang w:eastAsia="en-AU"/>
              </w:rPr>
              <w:t>Code</w:t>
            </w:r>
            <w:r w:rsidRPr="0057355E">
              <w:rPr>
                <w:rFonts w:eastAsia="Times New Roman" w:cs="Times New Roman"/>
                <w:lang w:eastAsia="en-AU"/>
              </w:rPr>
              <w:t xml:space="preserve"> during the contract term and which outlines that a breach of the Code is a breach of the contract</w:t>
            </w:r>
          </w:p>
          <w:p w14:paraId="065DEB03" w14:textId="77777777" w:rsidR="00170C9A" w:rsidRPr="0057355E" w:rsidRDefault="00170C9A" w:rsidP="0057355E">
            <w:pPr>
              <w:numPr>
                <w:ilvl w:val="0"/>
                <w:numId w:val="32"/>
              </w:numPr>
              <w:tabs>
                <w:tab w:val="left" w:pos="2835"/>
              </w:tabs>
              <w:spacing w:after="60"/>
              <w:contextualSpacing/>
              <w:rPr>
                <w:rFonts w:eastAsia="Times New Roman" w:cs="Times New Roman"/>
                <w:lang w:eastAsia="en-AU"/>
              </w:rPr>
            </w:pPr>
            <w:r w:rsidRPr="0057355E">
              <w:rPr>
                <w:rFonts w:eastAsia="Times New Roman" w:cs="Times New Roman"/>
                <w:lang w:eastAsia="en-AU"/>
              </w:rPr>
              <w:t xml:space="preserve">Clearly communicate to the successful offeror how the contract will be managed </w:t>
            </w:r>
          </w:p>
        </w:tc>
        <w:tc>
          <w:tcPr>
            <w:tcW w:w="606" w:type="pct"/>
          </w:tcPr>
          <w:p w14:paraId="556454E9" w14:textId="5A6D1BC1" w:rsidR="00170C9A" w:rsidRPr="00083751" w:rsidRDefault="00D65C8D" w:rsidP="0057355E">
            <w:pPr>
              <w:tabs>
                <w:tab w:val="left" w:pos="2835"/>
              </w:tabs>
              <w:spacing w:after="60"/>
              <w:rPr>
                <w:rFonts w:eastAsia="Times New Roman" w:cs="Times New Roman"/>
              </w:rPr>
            </w:pPr>
            <w:r w:rsidRPr="00083751">
              <w:rPr>
                <w:rFonts w:eastAsia="Times New Roman" w:cs="Times New Roman"/>
              </w:rPr>
              <w:t>Rules 22, 24</w:t>
            </w:r>
          </w:p>
        </w:tc>
      </w:tr>
      <w:tr w:rsidR="00170C9A" w:rsidRPr="0057355E" w14:paraId="2B35B5DA" w14:textId="5D1E6527" w:rsidTr="2CB709EE">
        <w:trPr>
          <w:trHeight w:val="454"/>
        </w:trPr>
        <w:tc>
          <w:tcPr>
            <w:tcW w:w="257" w:type="pct"/>
            <w:vAlign w:val="center"/>
          </w:tcPr>
          <w:p w14:paraId="0BECB2D2" w14:textId="5ECE087D" w:rsidR="00170C9A" w:rsidRPr="0057355E" w:rsidRDefault="00E64452" w:rsidP="00F34743">
            <w:pPr>
              <w:jc w:val="center"/>
              <w:rPr>
                <w:rFonts w:eastAsia="Times New Roman" w:cs="Times New Roman"/>
                <w:szCs w:val="20"/>
              </w:rPr>
            </w:pPr>
            <w:r>
              <w:rPr>
                <w:rFonts w:eastAsia="Times New Roman" w:cs="Times New Roman"/>
                <w:szCs w:val="20"/>
              </w:rPr>
              <w:t>3.4</w:t>
            </w:r>
          </w:p>
        </w:tc>
        <w:tc>
          <w:tcPr>
            <w:tcW w:w="4137" w:type="pct"/>
            <w:vAlign w:val="center"/>
          </w:tcPr>
          <w:p w14:paraId="1294CEE0" w14:textId="1781BCBA" w:rsidR="00170C9A" w:rsidRPr="0057355E" w:rsidRDefault="00170C9A" w:rsidP="0057355E">
            <w:pPr>
              <w:tabs>
                <w:tab w:val="left" w:pos="2835"/>
              </w:tabs>
              <w:spacing w:after="60"/>
              <w:rPr>
                <w:rFonts w:eastAsia="Times New Roman" w:cs="Times New Roman"/>
                <w:b/>
                <w:bCs/>
              </w:rPr>
            </w:pPr>
            <w:r w:rsidRPr="0057355E">
              <w:rPr>
                <w:rFonts w:eastAsia="Times New Roman" w:cs="Times New Roman"/>
                <w:b/>
                <w:bCs/>
              </w:rPr>
              <w:t>Contract management</w:t>
            </w:r>
          </w:p>
          <w:p w14:paraId="314C0484" w14:textId="488833FC" w:rsidR="006A44F3" w:rsidRPr="005C13AA" w:rsidRDefault="00170C9A" w:rsidP="005C13AA">
            <w:pPr>
              <w:numPr>
                <w:ilvl w:val="0"/>
                <w:numId w:val="33"/>
              </w:numPr>
              <w:tabs>
                <w:tab w:val="left" w:pos="2835"/>
              </w:tabs>
              <w:spacing w:after="60"/>
              <w:contextualSpacing/>
              <w:rPr>
                <w:rFonts w:eastAsia="Times New Roman" w:cs="Times New Roman"/>
                <w:lang w:eastAsia="en-AU"/>
              </w:rPr>
            </w:pPr>
            <w:r w:rsidRPr="0057355E">
              <w:rPr>
                <w:rFonts w:eastAsia="Times New Roman" w:cs="Times New Roman"/>
                <w:lang w:eastAsia="en-AU"/>
              </w:rPr>
              <w:t>Manage the contract in line with the approved contract management plan</w:t>
            </w:r>
            <w:r w:rsidR="005C13AA">
              <w:rPr>
                <w:rFonts w:eastAsia="Times New Roman" w:cs="Times New Roman"/>
                <w:lang w:eastAsia="en-AU"/>
              </w:rPr>
              <w:t>, including taking appropriate remedial action where non-compliance with accessibility requirements is identified</w:t>
            </w:r>
          </w:p>
          <w:p w14:paraId="7E7009D2" w14:textId="6CE094CE" w:rsidR="00170C9A" w:rsidRPr="0057355E" w:rsidRDefault="00170C9A" w:rsidP="006A44F3">
            <w:pPr>
              <w:numPr>
                <w:ilvl w:val="0"/>
                <w:numId w:val="33"/>
              </w:numPr>
              <w:tabs>
                <w:tab w:val="left" w:pos="2835"/>
              </w:tabs>
              <w:spacing w:after="60"/>
              <w:contextualSpacing/>
              <w:rPr>
                <w:rFonts w:eastAsia="Times New Roman" w:cs="Times New Roman"/>
                <w:lang w:eastAsia="en-AU"/>
              </w:rPr>
            </w:pPr>
            <w:r w:rsidRPr="0057355E">
              <w:rPr>
                <w:rFonts w:eastAsia="Times New Roman" w:cs="Times New Roman"/>
                <w:lang w:eastAsia="en-AU"/>
              </w:rPr>
              <w:t xml:space="preserve">Verify accessibility compliance (or </w:t>
            </w:r>
            <w:r w:rsidR="000F5265" w:rsidRPr="0057355E">
              <w:rPr>
                <w:rFonts w:eastAsia="Times New Roman" w:cs="Times New Roman"/>
                <w:lang w:eastAsia="en-AU"/>
              </w:rPr>
              <w:t>equi</w:t>
            </w:r>
            <w:r w:rsidR="000F5265">
              <w:rPr>
                <w:rFonts w:eastAsia="Times New Roman" w:cs="Times New Roman"/>
                <w:lang w:eastAsia="en-AU"/>
              </w:rPr>
              <w:t>table</w:t>
            </w:r>
            <w:r w:rsidR="000F5265" w:rsidRPr="0057355E">
              <w:rPr>
                <w:rFonts w:eastAsia="Times New Roman" w:cs="Times New Roman"/>
                <w:lang w:eastAsia="en-AU"/>
              </w:rPr>
              <w:t xml:space="preserve"> </w:t>
            </w:r>
            <w:r w:rsidRPr="0057355E">
              <w:rPr>
                <w:rFonts w:eastAsia="Times New Roman" w:cs="Times New Roman"/>
                <w:lang w:eastAsia="en-AU"/>
              </w:rPr>
              <w:t>access) has been obtained before accepting any good and/or service</w:t>
            </w:r>
          </w:p>
        </w:tc>
        <w:tc>
          <w:tcPr>
            <w:tcW w:w="606" w:type="pct"/>
          </w:tcPr>
          <w:p w14:paraId="721B6CE5" w14:textId="3DB5ACDE" w:rsidR="00170C9A" w:rsidRPr="00083751" w:rsidRDefault="00FA4515" w:rsidP="0057355E">
            <w:pPr>
              <w:tabs>
                <w:tab w:val="left" w:pos="2835"/>
              </w:tabs>
              <w:spacing w:after="60"/>
              <w:rPr>
                <w:rFonts w:eastAsia="Times New Roman" w:cs="Times New Roman"/>
              </w:rPr>
            </w:pPr>
            <w:r w:rsidRPr="00083751">
              <w:rPr>
                <w:rFonts w:eastAsia="Times New Roman" w:cs="Times New Roman"/>
              </w:rPr>
              <w:t>Rule</w:t>
            </w:r>
            <w:r w:rsidR="006A44F3" w:rsidRPr="00083751">
              <w:rPr>
                <w:rFonts w:eastAsia="Times New Roman" w:cs="Times New Roman"/>
              </w:rPr>
              <w:t>s</w:t>
            </w:r>
            <w:r w:rsidRPr="00083751">
              <w:rPr>
                <w:rFonts w:eastAsia="Times New Roman" w:cs="Times New Roman"/>
              </w:rPr>
              <w:t xml:space="preserve"> 31</w:t>
            </w:r>
            <w:r w:rsidR="006A44F3" w:rsidRPr="00083751">
              <w:rPr>
                <w:rFonts w:eastAsia="Times New Roman" w:cs="Times New Roman"/>
              </w:rPr>
              <w:t>, 32</w:t>
            </w:r>
          </w:p>
        </w:tc>
      </w:tr>
    </w:tbl>
    <w:p w14:paraId="25F19203" w14:textId="3471EFF6" w:rsidR="00BF2C3B" w:rsidRDefault="0042343D" w:rsidP="001666F6">
      <w:pPr>
        <w:pStyle w:val="Heading1"/>
      </w:pPr>
      <w:bookmarkStart w:id="13" w:name="_Toc204081455"/>
      <w:bookmarkStart w:id="14" w:name="_Toc204081456"/>
      <w:bookmarkStart w:id="15" w:name="_Toc204081457"/>
      <w:bookmarkStart w:id="16" w:name="_Toc204081458"/>
      <w:bookmarkStart w:id="17" w:name="_Toc204081459"/>
      <w:bookmarkStart w:id="18" w:name="_Toc204081460"/>
      <w:bookmarkStart w:id="19" w:name="_Toc204081461"/>
      <w:bookmarkStart w:id="20" w:name="_Toc204081462"/>
      <w:bookmarkStart w:id="21" w:name="_Toc204081463"/>
      <w:bookmarkStart w:id="22" w:name="_Toc204081464"/>
      <w:bookmarkStart w:id="23" w:name="_Toc204081465"/>
      <w:bookmarkStart w:id="24" w:name="_Toc228868639"/>
      <w:bookmarkEnd w:id="13"/>
      <w:bookmarkEnd w:id="14"/>
      <w:bookmarkEnd w:id="15"/>
      <w:bookmarkEnd w:id="16"/>
      <w:bookmarkEnd w:id="17"/>
      <w:bookmarkEnd w:id="18"/>
      <w:bookmarkEnd w:id="19"/>
      <w:bookmarkEnd w:id="20"/>
      <w:bookmarkEnd w:id="21"/>
      <w:bookmarkEnd w:id="22"/>
      <w:bookmarkEnd w:id="23"/>
      <w:r>
        <w:t>Incorporating accessibility considerations</w:t>
      </w:r>
      <w:r w:rsidR="00BF2C3B">
        <w:t xml:space="preserve"> in procurement</w:t>
      </w:r>
      <w:bookmarkEnd w:id="24"/>
    </w:p>
    <w:p w14:paraId="3F7B4FF4" w14:textId="5E954CD5" w:rsidR="00BF2C3B" w:rsidRDefault="00076773" w:rsidP="005B409F">
      <w:pPr>
        <w:pStyle w:val="Heading2"/>
      </w:pPr>
      <w:bookmarkStart w:id="25" w:name="_Toc177387024"/>
      <w:bookmarkStart w:id="26" w:name="_Toc183682535"/>
      <w:bookmarkStart w:id="27" w:name="_Toc228868640"/>
      <w:r>
        <w:t xml:space="preserve">1. </w:t>
      </w:r>
      <w:r w:rsidR="00BF2C3B">
        <w:t>Accessibility principles</w:t>
      </w:r>
      <w:bookmarkEnd w:id="25"/>
      <w:bookmarkEnd w:id="26"/>
      <w:bookmarkEnd w:id="27"/>
    </w:p>
    <w:p w14:paraId="78B70A2F" w14:textId="77777777" w:rsidR="00BF2C3B" w:rsidRDefault="00BF2C3B" w:rsidP="00A004FD">
      <w:r w:rsidRPr="00C2025B">
        <w:t xml:space="preserve">Seven design principles help to guide decisions around whether a product, service or environment is universally accessible. </w:t>
      </w:r>
    </w:p>
    <w:p w14:paraId="210E9A9F" w14:textId="77777777" w:rsidR="00BF2C3B" w:rsidRDefault="00BF2C3B" w:rsidP="00A004FD">
      <w:r>
        <w:t xml:space="preserve">The </w:t>
      </w:r>
      <w:hyperlink r:id="rId26" w:history="1">
        <w:r w:rsidRPr="001708A5">
          <w:rPr>
            <w:rStyle w:val="Hyperlink"/>
            <w:i/>
            <w:iCs/>
          </w:rPr>
          <w:t>United Nations Convention on the Rights of Persons with Disabilities and Optional Protocol</w:t>
        </w:r>
      </w:hyperlink>
      <w:r>
        <w:t xml:space="preserve"> defines ‘universal design’ as ‘the design of products, environments, programmes and services to be usable by all people, to the greatest extent possible, without the need for adaptation or specialised design’ and it ‘shall not exclude assistive devices for particular groups of persons with disabilities where this is needed.’</w:t>
      </w:r>
    </w:p>
    <w:p w14:paraId="484E8ED1" w14:textId="4128BEEE" w:rsidR="00BF2C3B" w:rsidRPr="00C2025B" w:rsidRDefault="00BF2C3B" w:rsidP="00A004FD">
      <w:r>
        <w:t>Incorporating these principles into agency service delivery, including procurement,</w:t>
      </w:r>
      <w:r w:rsidRPr="00C2025B">
        <w:t xml:space="preserve"> </w:t>
      </w:r>
      <w:r w:rsidRPr="001C1D92">
        <w:t>will increase the accessibility for people with disability</w:t>
      </w:r>
      <w:r>
        <w:t>:</w:t>
      </w:r>
    </w:p>
    <w:p w14:paraId="08C9C597" w14:textId="77777777" w:rsidR="00BF2C3B" w:rsidRPr="00A6681A" w:rsidRDefault="00BF2C3B" w:rsidP="00BF2C3B">
      <w:pPr>
        <w:numPr>
          <w:ilvl w:val="0"/>
          <w:numId w:val="15"/>
        </w:numPr>
        <w:spacing w:after="160" w:line="260" w:lineRule="exact"/>
        <w:rPr>
          <w:bCs/>
        </w:rPr>
      </w:pPr>
      <w:r w:rsidRPr="00A6681A">
        <w:rPr>
          <w:bCs/>
        </w:rPr>
        <w:t>Equitable use – is useful and marketable to people of all abilities (e.g. public transport)</w:t>
      </w:r>
    </w:p>
    <w:p w14:paraId="3FADE748" w14:textId="77777777" w:rsidR="00BF2C3B" w:rsidRPr="00A6681A" w:rsidRDefault="00BF2C3B" w:rsidP="00BF2C3B">
      <w:pPr>
        <w:numPr>
          <w:ilvl w:val="0"/>
          <w:numId w:val="15"/>
        </w:numPr>
        <w:spacing w:after="160" w:line="260" w:lineRule="exact"/>
        <w:rPr>
          <w:bCs/>
        </w:rPr>
      </w:pPr>
      <w:r w:rsidRPr="00A6681A">
        <w:rPr>
          <w:bCs/>
        </w:rPr>
        <w:t>Flexibility in use – accommodates a wide range of individual preferences and abilities (e.g. office desks)</w:t>
      </w:r>
    </w:p>
    <w:p w14:paraId="0D8E7C31" w14:textId="77777777" w:rsidR="00BF2C3B" w:rsidRPr="00A6681A" w:rsidRDefault="00BF2C3B" w:rsidP="00BF2C3B">
      <w:pPr>
        <w:numPr>
          <w:ilvl w:val="0"/>
          <w:numId w:val="15"/>
        </w:numPr>
        <w:spacing w:after="160" w:line="260" w:lineRule="exact"/>
        <w:rPr>
          <w:bCs/>
        </w:rPr>
      </w:pPr>
      <w:r w:rsidRPr="00A6681A">
        <w:rPr>
          <w:bCs/>
        </w:rPr>
        <w:t>Simple and intuitive use – is easy to understand, regardless of the user’s experience, knowledge, language skills, or current concentration level (e.g. visual vs written, plain English, multiple languages)</w:t>
      </w:r>
    </w:p>
    <w:p w14:paraId="2E3F1EC5" w14:textId="77777777" w:rsidR="00BF2C3B" w:rsidRPr="00A6681A" w:rsidRDefault="00BF2C3B" w:rsidP="00BF2C3B">
      <w:pPr>
        <w:numPr>
          <w:ilvl w:val="0"/>
          <w:numId w:val="15"/>
        </w:numPr>
        <w:spacing w:after="160" w:line="260" w:lineRule="exact"/>
        <w:rPr>
          <w:bCs/>
        </w:rPr>
      </w:pPr>
      <w:r w:rsidRPr="00A6681A">
        <w:rPr>
          <w:bCs/>
        </w:rPr>
        <w:t>Perceptible information – communicates necessary information effectively to the user, regardless of ambient conditions or the user’s sensory abilities (e.g. signage, website colour contrasts)</w:t>
      </w:r>
    </w:p>
    <w:p w14:paraId="468C4388" w14:textId="77777777" w:rsidR="00BF2C3B" w:rsidRPr="00A6681A" w:rsidRDefault="00BF2C3B" w:rsidP="00BF2C3B">
      <w:pPr>
        <w:numPr>
          <w:ilvl w:val="0"/>
          <w:numId w:val="15"/>
        </w:numPr>
        <w:spacing w:after="160" w:line="260" w:lineRule="exact"/>
        <w:rPr>
          <w:bCs/>
        </w:rPr>
      </w:pPr>
      <w:r w:rsidRPr="00A6681A">
        <w:rPr>
          <w:bCs/>
        </w:rPr>
        <w:t>Tolerance for error – minimises hazards and adverse consequences of accidental or unintended actions (e.g. flooring)</w:t>
      </w:r>
    </w:p>
    <w:p w14:paraId="0E079BB1" w14:textId="77777777" w:rsidR="00BF2C3B" w:rsidRPr="00A6681A" w:rsidRDefault="00BF2C3B" w:rsidP="00BF2C3B">
      <w:pPr>
        <w:numPr>
          <w:ilvl w:val="0"/>
          <w:numId w:val="15"/>
        </w:numPr>
        <w:spacing w:after="160" w:line="260" w:lineRule="exact"/>
        <w:rPr>
          <w:bCs/>
        </w:rPr>
      </w:pPr>
      <w:r w:rsidRPr="00A6681A">
        <w:rPr>
          <w:bCs/>
        </w:rPr>
        <w:t>Low physical effort – can be used efficiently and comfortably and with a minimum of fatigue (e.g. multi-latch, heavy doors)</w:t>
      </w:r>
    </w:p>
    <w:p w14:paraId="54EC7C43" w14:textId="77777777" w:rsidR="00BF2C3B" w:rsidRDefault="00BF2C3B" w:rsidP="00BF2C3B">
      <w:pPr>
        <w:numPr>
          <w:ilvl w:val="0"/>
          <w:numId w:val="15"/>
        </w:numPr>
        <w:spacing w:after="160" w:line="260" w:lineRule="exact"/>
      </w:pPr>
      <w:r w:rsidRPr="00A6681A">
        <w:rPr>
          <w:bCs/>
        </w:rPr>
        <w:t>Size and space for approach and use –</w:t>
      </w:r>
      <w:r w:rsidRPr="00C2025B">
        <w:t xml:space="preserve"> </w:t>
      </w:r>
      <w:r>
        <w:t>appropriate size and space is provided for approach, reach, manipulation, and use regardless of user’s body size, posture, or mobility</w:t>
      </w:r>
      <w:r w:rsidRPr="00C2025B">
        <w:t xml:space="preserve"> (e.g. building doorways, public toilets, libraries).</w:t>
      </w:r>
    </w:p>
    <w:tbl>
      <w:tblPr>
        <w:tblStyle w:val="TableGrid"/>
        <w:tblW w:w="5000" w:type="pct"/>
        <w:tblLook w:val="04A0" w:firstRow="1" w:lastRow="0" w:firstColumn="1" w:lastColumn="0" w:noHBand="0" w:noVBand="1"/>
      </w:tblPr>
      <w:tblGrid>
        <w:gridCol w:w="10478"/>
      </w:tblGrid>
      <w:tr w:rsidR="007A0A13" w:rsidRPr="0042343D" w14:paraId="6E942584" w14:textId="77777777" w:rsidTr="005B409F">
        <w:tc>
          <w:tcPr>
            <w:tcW w:w="5000" w:type="pct"/>
            <w:shd w:val="clear" w:color="auto" w:fill="005EB8" w:themeFill="text1"/>
            <w:tcMar>
              <w:top w:w="113" w:type="dxa"/>
              <w:bottom w:w="113" w:type="dxa"/>
            </w:tcMar>
          </w:tcPr>
          <w:p w14:paraId="487C9605" w14:textId="1ED14AEC" w:rsidR="007A0A13" w:rsidRPr="0042343D" w:rsidRDefault="007A0A13" w:rsidP="005B409F">
            <w:pPr>
              <w:spacing w:after="0"/>
              <w:rPr>
                <w:b/>
                <w:bCs/>
              </w:rPr>
            </w:pPr>
            <w:r>
              <w:rPr>
                <w:b/>
                <w:bCs/>
                <w:color w:val="FFFFFF" w:themeColor="background1"/>
              </w:rPr>
              <w:t>Note</w:t>
            </w:r>
          </w:p>
        </w:tc>
      </w:tr>
      <w:tr w:rsidR="007A0A13" w:rsidRPr="0042343D" w14:paraId="1CCCADA1" w14:textId="77777777" w:rsidTr="00BA53A0">
        <w:tc>
          <w:tcPr>
            <w:tcW w:w="5000" w:type="pct"/>
            <w:tcMar>
              <w:top w:w="113" w:type="dxa"/>
              <w:bottom w:w="113" w:type="dxa"/>
            </w:tcMar>
          </w:tcPr>
          <w:p w14:paraId="073258EC" w14:textId="2D9D3715" w:rsidR="00C52240" w:rsidRDefault="00C52240" w:rsidP="00BA53A0">
            <w:pPr>
              <w:tabs>
                <w:tab w:val="left" w:pos="2835"/>
              </w:tabs>
              <w:rPr>
                <w:lang w:eastAsia="en-AU"/>
              </w:rPr>
            </w:pPr>
            <w:r>
              <w:rPr>
                <w:lang w:eastAsia="en-AU"/>
              </w:rPr>
              <w:t xml:space="preserve">The IDEA </w:t>
            </w:r>
            <w:proofErr w:type="spellStart"/>
            <w:r>
              <w:rPr>
                <w:lang w:eastAsia="en-AU"/>
              </w:rPr>
              <w:t>Center</w:t>
            </w:r>
            <w:proofErr w:type="spellEnd"/>
            <w:r>
              <w:rPr>
                <w:lang w:eastAsia="en-AU"/>
              </w:rPr>
              <w:t xml:space="preserve"> </w:t>
            </w:r>
            <w:r w:rsidR="00BD2420">
              <w:rPr>
                <w:lang w:eastAsia="en-AU"/>
              </w:rPr>
              <w:t xml:space="preserve">at the University at Buffalo have </w:t>
            </w:r>
            <w:r w:rsidR="00F20B18">
              <w:rPr>
                <w:lang w:eastAsia="en-AU"/>
              </w:rPr>
              <w:t>developed eight goals of universal design, building on the seven design principles</w:t>
            </w:r>
            <w:r w:rsidR="00BF3395">
              <w:rPr>
                <w:lang w:eastAsia="en-AU"/>
              </w:rPr>
              <w:t xml:space="preserve">, to help users to apply universal design and measure outcomes. </w:t>
            </w:r>
            <w:r w:rsidR="00B3007C">
              <w:rPr>
                <w:lang w:eastAsia="en-AU"/>
              </w:rPr>
              <w:t xml:space="preserve"> </w:t>
            </w:r>
          </w:p>
          <w:p w14:paraId="2A0C94D4" w14:textId="0BD8DA7A" w:rsidR="007347F0" w:rsidRDefault="00DF642E" w:rsidP="00BA53A0">
            <w:pPr>
              <w:tabs>
                <w:tab w:val="left" w:pos="2835"/>
              </w:tabs>
              <w:rPr>
                <w:lang w:eastAsia="en-AU"/>
              </w:rPr>
            </w:pPr>
            <w:r>
              <w:rPr>
                <w:lang w:eastAsia="en-AU"/>
              </w:rPr>
              <w:t>The eight goals of universal design cover functional, social and emotional dimensions</w:t>
            </w:r>
            <w:r w:rsidR="007347F0">
              <w:rPr>
                <w:lang w:eastAsia="en-AU"/>
              </w:rPr>
              <w:t>:</w:t>
            </w:r>
          </w:p>
          <w:p w14:paraId="12171E8E" w14:textId="2A3DBCED" w:rsidR="00A5193F" w:rsidRDefault="00B77F19" w:rsidP="00B77F19">
            <w:pPr>
              <w:pStyle w:val="ListParagraph"/>
              <w:numPr>
                <w:ilvl w:val="0"/>
                <w:numId w:val="59"/>
              </w:numPr>
            </w:pPr>
            <w:r>
              <w:t>Body fit</w:t>
            </w:r>
            <w:r w:rsidR="001677EB">
              <w:t xml:space="preserve">: </w:t>
            </w:r>
            <w:r w:rsidR="001677EB" w:rsidRPr="001677EB">
              <w:t>Accommodating a wide range of body sizes and abilities.</w:t>
            </w:r>
          </w:p>
          <w:p w14:paraId="3D0B1E3F" w14:textId="15EBC740" w:rsidR="00B77F19" w:rsidRDefault="00B77F19" w:rsidP="00B77F19">
            <w:pPr>
              <w:pStyle w:val="ListParagraph"/>
              <w:numPr>
                <w:ilvl w:val="0"/>
                <w:numId w:val="59"/>
              </w:numPr>
            </w:pPr>
            <w:r>
              <w:t>Comfort</w:t>
            </w:r>
            <w:r w:rsidR="001677EB">
              <w:t xml:space="preserve">: </w:t>
            </w:r>
            <w:r w:rsidR="001677EB" w:rsidRPr="001677EB">
              <w:t>Keeping demands within desirable limits of body function and perception.</w:t>
            </w:r>
          </w:p>
          <w:p w14:paraId="7FA450A5" w14:textId="15632465" w:rsidR="00B77F19" w:rsidRDefault="00B77F19" w:rsidP="00B77F19">
            <w:pPr>
              <w:pStyle w:val="ListParagraph"/>
              <w:numPr>
                <w:ilvl w:val="0"/>
                <w:numId w:val="59"/>
              </w:numPr>
            </w:pPr>
            <w:r>
              <w:t>Awareness</w:t>
            </w:r>
            <w:r w:rsidR="006F5038">
              <w:t xml:space="preserve">: </w:t>
            </w:r>
            <w:r w:rsidR="006F5038" w:rsidRPr="006F5038">
              <w:t>Ensuring that critical information for use is easily perceived.</w:t>
            </w:r>
          </w:p>
          <w:p w14:paraId="2EBA0F71" w14:textId="04C47D01" w:rsidR="00B77F19" w:rsidRDefault="00B77F19" w:rsidP="00B77F19">
            <w:pPr>
              <w:pStyle w:val="ListParagraph"/>
              <w:numPr>
                <w:ilvl w:val="0"/>
                <w:numId w:val="59"/>
              </w:numPr>
            </w:pPr>
            <w:r>
              <w:lastRenderedPageBreak/>
              <w:t>Understanding</w:t>
            </w:r>
            <w:r w:rsidR="006F5038">
              <w:t xml:space="preserve">: </w:t>
            </w:r>
            <w:r w:rsidR="006F5038" w:rsidRPr="006F5038">
              <w:t>Making methods of operation and use intuitive, clear and unambiguous.</w:t>
            </w:r>
          </w:p>
          <w:p w14:paraId="16F3B71A" w14:textId="18BA412D" w:rsidR="00B77F19" w:rsidRDefault="00B77F19" w:rsidP="00B77F19">
            <w:pPr>
              <w:pStyle w:val="ListParagraph"/>
              <w:numPr>
                <w:ilvl w:val="0"/>
                <w:numId w:val="59"/>
              </w:numPr>
            </w:pPr>
            <w:r>
              <w:t>Wellness</w:t>
            </w:r>
            <w:r w:rsidR="006F5038">
              <w:t xml:space="preserve">: </w:t>
            </w:r>
            <w:r w:rsidR="006F5038" w:rsidRPr="006F5038">
              <w:t>Contributing to health promotion, avoidance of disease, and protection from hazards.</w:t>
            </w:r>
          </w:p>
          <w:p w14:paraId="7C9E0FBB" w14:textId="24CF1FF9" w:rsidR="00B77F19" w:rsidRDefault="00B77F19" w:rsidP="00B77F19">
            <w:pPr>
              <w:pStyle w:val="ListParagraph"/>
              <w:numPr>
                <w:ilvl w:val="0"/>
                <w:numId w:val="59"/>
              </w:numPr>
            </w:pPr>
            <w:r>
              <w:t>Social integration</w:t>
            </w:r>
            <w:r w:rsidR="006F5038">
              <w:t xml:space="preserve">: </w:t>
            </w:r>
            <w:r w:rsidR="006F5038" w:rsidRPr="006F5038">
              <w:t>Treating all groups with dignity and respect.</w:t>
            </w:r>
          </w:p>
          <w:p w14:paraId="36127E6E" w14:textId="64FDA845" w:rsidR="00B77F19" w:rsidRDefault="00B77F19" w:rsidP="00B77F19">
            <w:pPr>
              <w:pStyle w:val="ListParagraph"/>
              <w:numPr>
                <w:ilvl w:val="0"/>
                <w:numId w:val="59"/>
              </w:numPr>
            </w:pPr>
            <w:r>
              <w:t>Personali</w:t>
            </w:r>
            <w:r w:rsidR="00EE687E">
              <w:t>z</w:t>
            </w:r>
            <w:r>
              <w:t>ation</w:t>
            </w:r>
            <w:r w:rsidR="00EE687E">
              <w:t xml:space="preserve">: </w:t>
            </w:r>
            <w:r w:rsidR="00EE687E" w:rsidRPr="00EE687E">
              <w:t>Incorporating opportunities for choice and the expression of individual preferences.</w:t>
            </w:r>
          </w:p>
          <w:p w14:paraId="5DCDC1A5" w14:textId="5E5D684F" w:rsidR="00B77F19" w:rsidRDefault="00B77F19" w:rsidP="005B409F">
            <w:pPr>
              <w:pStyle w:val="ListParagraph"/>
              <w:numPr>
                <w:ilvl w:val="0"/>
                <w:numId w:val="59"/>
              </w:numPr>
            </w:pPr>
            <w:r>
              <w:t>Cultural appropriateness</w:t>
            </w:r>
            <w:r w:rsidR="00EE687E">
              <w:t xml:space="preserve">: </w:t>
            </w:r>
            <w:r w:rsidR="00EE687E" w:rsidRPr="00EE687E">
              <w:t>Respecting and reinforcing cultural values, and the social and environmental contexts of any design project.</w:t>
            </w:r>
          </w:p>
          <w:p w14:paraId="447021C7" w14:textId="7AD9F962" w:rsidR="007A0A13" w:rsidRPr="0042343D" w:rsidRDefault="007347F0" w:rsidP="005B409F">
            <w:pPr>
              <w:tabs>
                <w:tab w:val="left" w:pos="2835"/>
              </w:tabs>
              <w:spacing w:after="0"/>
              <w:rPr>
                <w:lang w:eastAsia="en-AU"/>
              </w:rPr>
            </w:pPr>
            <w:r>
              <w:rPr>
                <w:lang w:eastAsia="en-AU"/>
              </w:rPr>
              <w:t xml:space="preserve">The </w:t>
            </w:r>
            <w:r w:rsidR="00FF7B1C">
              <w:rPr>
                <w:lang w:eastAsia="en-AU"/>
              </w:rPr>
              <w:t xml:space="preserve">implications of the </w:t>
            </w:r>
            <w:r>
              <w:rPr>
                <w:lang w:eastAsia="en-AU"/>
              </w:rPr>
              <w:t>eight goals of universal design will be</w:t>
            </w:r>
            <w:r w:rsidR="00887757">
              <w:rPr>
                <w:lang w:eastAsia="en-AU"/>
              </w:rPr>
              <w:t xml:space="preserve"> considered </w:t>
            </w:r>
            <w:r w:rsidR="00A5193F">
              <w:rPr>
                <w:lang w:eastAsia="en-AU"/>
              </w:rPr>
              <w:t>in a future review of this guide.</w:t>
            </w:r>
            <w:r w:rsidR="00022498">
              <w:rPr>
                <w:lang w:eastAsia="en-AU"/>
              </w:rPr>
              <w:t xml:space="preserve"> </w:t>
            </w:r>
          </w:p>
        </w:tc>
      </w:tr>
    </w:tbl>
    <w:p w14:paraId="0F680191" w14:textId="568AA2B7" w:rsidR="00BF2C3B" w:rsidRDefault="00076773" w:rsidP="001666F6">
      <w:pPr>
        <w:pStyle w:val="Heading2"/>
      </w:pPr>
      <w:bookmarkStart w:id="28" w:name="_Toc223353320"/>
      <w:bookmarkStart w:id="29" w:name="_Toc228868641"/>
      <w:bookmarkEnd w:id="28"/>
      <w:r>
        <w:lastRenderedPageBreak/>
        <w:t xml:space="preserve">2. </w:t>
      </w:r>
      <w:bookmarkStart w:id="30" w:name="_Toc223353956"/>
      <w:bookmarkStart w:id="31" w:name="_Toc177387025"/>
      <w:bookmarkStart w:id="32" w:name="_Toc183682536"/>
      <w:r w:rsidR="00BF2C3B">
        <w:t>Agency obligations</w:t>
      </w:r>
      <w:bookmarkEnd w:id="29"/>
      <w:bookmarkEnd w:id="30"/>
    </w:p>
    <w:p w14:paraId="2410C862" w14:textId="6B9353EB" w:rsidR="00BF2C3B" w:rsidRPr="00002424" w:rsidRDefault="00BF2C3B" w:rsidP="00F55388">
      <w:r>
        <w:t xml:space="preserve">Accessibility in procurement may </w:t>
      </w:r>
      <w:r w:rsidRPr="00002424">
        <w:t>require a combination of</w:t>
      </w:r>
      <w:r w:rsidR="00614199">
        <w:t xml:space="preserve"> the following</w:t>
      </w:r>
      <w:r w:rsidRPr="00002424">
        <w:t xml:space="preserve"> three key attributes</w:t>
      </w:r>
      <w:r w:rsidR="00913302">
        <w:t xml:space="preserve"> that should be considered by your agency</w:t>
      </w:r>
      <w:r w:rsidRPr="00002424">
        <w:t>:</w:t>
      </w:r>
    </w:p>
    <w:p w14:paraId="32E40DA0" w14:textId="76F2F4BF" w:rsidR="00BF2C3B" w:rsidRPr="00002424" w:rsidRDefault="00BF2C3B" w:rsidP="00BF2C3B">
      <w:pPr>
        <w:numPr>
          <w:ilvl w:val="0"/>
          <w:numId w:val="14"/>
        </w:numPr>
        <w:spacing w:after="160" w:line="260" w:lineRule="exact"/>
      </w:pPr>
      <w:r w:rsidRPr="00002424">
        <w:t xml:space="preserve">Robust process – delivers </w:t>
      </w:r>
      <w:r w:rsidRPr="00BD3A09">
        <w:t>good procurement practice</w:t>
      </w:r>
      <w:r w:rsidRPr="0071265F">
        <w:t xml:space="preserve"> which meets accessibility requirements, maintains probity, transparency and integrity of decision making and enables quality</w:t>
      </w:r>
      <w:r w:rsidRPr="00BD3A09">
        <w:t xml:space="preserve"> engagements </w:t>
      </w:r>
      <w:r w:rsidRPr="0071265F">
        <w:t>with releva</w:t>
      </w:r>
      <w:r w:rsidRPr="00002424">
        <w:t>nt stakeholders.</w:t>
      </w:r>
      <w:r>
        <w:t xml:space="preserve"> This includes the provision of targeted debriefing to unsuccessful suppliers.</w:t>
      </w:r>
    </w:p>
    <w:p w14:paraId="71EB8B8A" w14:textId="77777777" w:rsidR="00BF2C3B" w:rsidRPr="0071265F" w:rsidRDefault="00BF2C3B" w:rsidP="00BF2C3B">
      <w:pPr>
        <w:numPr>
          <w:ilvl w:val="0"/>
          <w:numId w:val="14"/>
        </w:numPr>
        <w:spacing w:after="160" w:line="260" w:lineRule="exact"/>
        <w:rPr>
          <w:bCs/>
        </w:rPr>
      </w:pPr>
      <w:r w:rsidRPr="00002424">
        <w:t xml:space="preserve">Maturing capability – delivers access to </w:t>
      </w:r>
      <w:r w:rsidRPr="00BD3A09">
        <w:rPr>
          <w:bCs/>
        </w:rPr>
        <w:t>available training and resources</w:t>
      </w:r>
      <w:r w:rsidRPr="0071265F">
        <w:rPr>
          <w:bCs/>
        </w:rPr>
        <w:t xml:space="preserve"> to develop procurement capability and professionalise the workforce.</w:t>
      </w:r>
    </w:p>
    <w:p w14:paraId="745513DB" w14:textId="7748B803" w:rsidR="00BF2C3B" w:rsidRDefault="00BF2C3B" w:rsidP="00BF2C3B">
      <w:pPr>
        <w:numPr>
          <w:ilvl w:val="0"/>
          <w:numId w:val="14"/>
        </w:numPr>
        <w:spacing w:after="160" w:line="260" w:lineRule="exact"/>
      </w:pPr>
      <w:r w:rsidRPr="0071265F">
        <w:rPr>
          <w:bCs/>
        </w:rPr>
        <w:t xml:space="preserve">Situational awareness – delivers </w:t>
      </w:r>
      <w:r w:rsidRPr="00BD3A09">
        <w:rPr>
          <w:bCs/>
        </w:rPr>
        <w:t xml:space="preserve">understanding of responsibilities </w:t>
      </w:r>
      <w:r w:rsidRPr="0071265F">
        <w:rPr>
          <w:bCs/>
        </w:rPr>
        <w:t>under the DDA</w:t>
      </w:r>
      <w:r w:rsidRPr="0071265F">
        <w:rPr>
          <w:bCs/>
          <w:i/>
          <w:iCs/>
        </w:rPr>
        <w:t xml:space="preserve"> </w:t>
      </w:r>
      <w:r w:rsidRPr="0071265F">
        <w:rPr>
          <w:bCs/>
        </w:rPr>
        <w:t xml:space="preserve">and </w:t>
      </w:r>
      <w:r w:rsidRPr="00965761">
        <w:rPr>
          <w:bCs/>
          <w:i/>
          <w:iCs/>
        </w:rPr>
        <w:t>Disability Standards and Guidelines</w:t>
      </w:r>
      <w:r w:rsidRPr="0071265F">
        <w:rPr>
          <w:bCs/>
        </w:rPr>
        <w:t>, to achieve fully accessible government services</w:t>
      </w:r>
      <w:r w:rsidRPr="00002424">
        <w:t>.</w:t>
      </w:r>
      <w:r>
        <w:t xml:space="preserve"> Embedding accessibility requirements within invitation and contract documentation promotes awareness of the government’s commitment to ensuring </w:t>
      </w:r>
      <w:proofErr w:type="gramStart"/>
      <w:r>
        <w:t>accessibility, and</w:t>
      </w:r>
      <w:proofErr w:type="gramEnd"/>
      <w:r>
        <w:t xml:space="preserve"> provides a contractual mechanism to support compliance.</w:t>
      </w:r>
    </w:p>
    <w:p w14:paraId="7EE7B9F5" w14:textId="035F66CC" w:rsidR="00BF2C3B" w:rsidRDefault="00076773" w:rsidP="001666F6">
      <w:pPr>
        <w:pStyle w:val="Heading2"/>
      </w:pPr>
      <w:bookmarkStart w:id="33" w:name="_Toc228868642"/>
      <w:bookmarkEnd w:id="31"/>
      <w:bookmarkEnd w:id="32"/>
      <w:r>
        <w:t xml:space="preserve">3. </w:t>
      </w:r>
      <w:r w:rsidR="00BF2C3B">
        <w:t>Individual procurement obligations</w:t>
      </w:r>
      <w:bookmarkEnd w:id="33"/>
    </w:p>
    <w:p w14:paraId="1D799AAA" w14:textId="32367DBF" w:rsidR="00AE0E03" w:rsidRPr="00AE0E03" w:rsidRDefault="00AE0E03" w:rsidP="005B409F">
      <w:r>
        <w:t xml:space="preserve">Refer to </w:t>
      </w:r>
      <w:hyperlink w:anchor="_Appendix_1:_Applying" w:history="1">
        <w:r w:rsidRPr="00F409D7">
          <w:rPr>
            <w:rStyle w:val="Hyperlink"/>
            <w:b/>
            <w:bCs/>
          </w:rPr>
          <w:t>Appendix 1</w:t>
        </w:r>
      </w:hyperlink>
      <w:r>
        <w:t xml:space="preserve"> for examples on applying accessibility considerations to individual procurement activities.</w:t>
      </w:r>
    </w:p>
    <w:p w14:paraId="1A13132E" w14:textId="0DB67931" w:rsidR="00BF2C3B" w:rsidRPr="00BD3A09" w:rsidRDefault="00E64452" w:rsidP="001666F6">
      <w:pPr>
        <w:pStyle w:val="Heading3"/>
      </w:pPr>
      <w:bookmarkStart w:id="34" w:name="_Toc228868643"/>
      <w:r>
        <w:t xml:space="preserve">3.1 </w:t>
      </w:r>
      <w:r w:rsidR="00BF2C3B">
        <w:t>Procurement planning</w:t>
      </w:r>
      <w:bookmarkEnd w:id="34"/>
    </w:p>
    <w:p w14:paraId="68D37C6A" w14:textId="436271A6" w:rsidR="00BF2C3B" w:rsidRDefault="00BF2C3B" w:rsidP="00BF2C3B">
      <w:pPr>
        <w:pStyle w:val="ListParagraph"/>
        <w:numPr>
          <w:ilvl w:val="0"/>
          <w:numId w:val="19"/>
        </w:numPr>
        <w:tabs>
          <w:tab w:val="clear" w:pos="2835"/>
        </w:tabs>
        <w:spacing w:after="0" w:line="260" w:lineRule="exact"/>
        <w:rPr>
          <w:rFonts w:cs="Arial"/>
          <w:szCs w:val="20"/>
        </w:rPr>
      </w:pPr>
      <w:r w:rsidRPr="00AF04EE">
        <w:rPr>
          <w:rFonts w:cs="Arial"/>
          <w:szCs w:val="20"/>
        </w:rPr>
        <w:t>Ensure accessibility is an objective of the procurement, referring to relevant legislation (e.g. DDA</w:t>
      </w:r>
      <w:r w:rsidR="001A6E69">
        <w:rPr>
          <w:rFonts w:cs="Arial"/>
          <w:szCs w:val="20"/>
        </w:rPr>
        <w:t xml:space="preserve">, </w:t>
      </w:r>
      <w:r w:rsidRPr="00AF04EE">
        <w:rPr>
          <w:rFonts w:cs="Arial"/>
          <w:szCs w:val="20"/>
        </w:rPr>
        <w:t xml:space="preserve">DSA) and any applicable standards (e.g. </w:t>
      </w:r>
      <w:r w:rsidRPr="001A6E69">
        <w:rPr>
          <w:rFonts w:cs="Arial"/>
          <w:i/>
          <w:iCs/>
          <w:szCs w:val="20"/>
        </w:rPr>
        <w:t>Disability Standards and Guidelines</w:t>
      </w:r>
      <w:r w:rsidRPr="00AF04EE">
        <w:rPr>
          <w:rFonts w:cs="Arial"/>
          <w:szCs w:val="20"/>
        </w:rPr>
        <w:t xml:space="preserve">). </w:t>
      </w:r>
      <w:r w:rsidR="00681773">
        <w:rPr>
          <w:rFonts w:cs="Arial"/>
          <w:szCs w:val="20"/>
        </w:rPr>
        <w:t xml:space="preserve"> </w:t>
      </w:r>
    </w:p>
    <w:p w14:paraId="1458CAE6" w14:textId="5F21CC3A" w:rsidR="00BF2C3B" w:rsidRDefault="00BF2C3B" w:rsidP="00BF2C3B">
      <w:pPr>
        <w:pStyle w:val="ListParagraph"/>
        <w:numPr>
          <w:ilvl w:val="0"/>
          <w:numId w:val="19"/>
        </w:numPr>
        <w:tabs>
          <w:tab w:val="clear" w:pos="2835"/>
        </w:tabs>
        <w:spacing w:after="0" w:line="260" w:lineRule="exact"/>
        <w:rPr>
          <w:rFonts w:cs="Arial"/>
          <w:szCs w:val="20"/>
        </w:rPr>
      </w:pPr>
      <w:r>
        <w:rPr>
          <w:rFonts w:cs="Arial"/>
          <w:szCs w:val="20"/>
        </w:rPr>
        <w:t xml:space="preserve">Consider </w:t>
      </w:r>
      <w:r w:rsidRPr="002B0BA4">
        <w:rPr>
          <w:rFonts w:cs="Arial"/>
          <w:szCs w:val="20"/>
        </w:rPr>
        <w:t xml:space="preserve">the SEC Strategy, </w:t>
      </w:r>
      <w:r w:rsidRPr="00CB4AD9">
        <w:rPr>
          <w:rFonts w:cs="Arial"/>
          <w:szCs w:val="20"/>
        </w:rPr>
        <w:t>which is supporting and guiding consultation and co-design with the disability</w:t>
      </w:r>
      <w:r>
        <w:rPr>
          <w:rFonts w:cs="Arial"/>
          <w:szCs w:val="20"/>
        </w:rPr>
        <w:t xml:space="preserve"> </w:t>
      </w:r>
      <w:r w:rsidRPr="00CB4AD9">
        <w:rPr>
          <w:rFonts w:cs="Arial"/>
          <w:szCs w:val="20"/>
        </w:rPr>
        <w:t>community.</w:t>
      </w:r>
    </w:p>
    <w:p w14:paraId="7775CCC7" w14:textId="74C1898B" w:rsidR="00346A54" w:rsidRDefault="00BF2C3B" w:rsidP="00BF2C3B">
      <w:pPr>
        <w:pStyle w:val="ListParagraph"/>
        <w:numPr>
          <w:ilvl w:val="0"/>
          <w:numId w:val="19"/>
        </w:numPr>
        <w:tabs>
          <w:tab w:val="clear" w:pos="2835"/>
        </w:tabs>
        <w:spacing w:after="0" w:line="260" w:lineRule="exact"/>
        <w:rPr>
          <w:rFonts w:cs="Arial"/>
          <w:szCs w:val="20"/>
        </w:rPr>
      </w:pPr>
      <w:r>
        <w:rPr>
          <w:rFonts w:cs="Arial"/>
          <w:szCs w:val="20"/>
        </w:rPr>
        <w:t>Plan</w:t>
      </w:r>
      <w:r w:rsidRPr="00DA5CF2">
        <w:rPr>
          <w:rFonts w:cs="Arial"/>
          <w:szCs w:val="20"/>
        </w:rPr>
        <w:t xml:space="preserve"> </w:t>
      </w:r>
      <w:r>
        <w:rPr>
          <w:rFonts w:cs="Arial"/>
          <w:szCs w:val="20"/>
        </w:rPr>
        <w:t>the</w:t>
      </w:r>
      <w:r w:rsidRPr="00907111">
        <w:rPr>
          <w:rFonts w:cs="Arial"/>
          <w:szCs w:val="20"/>
        </w:rPr>
        <w:t xml:space="preserve"> level of participation</w:t>
      </w:r>
      <w:r>
        <w:rPr>
          <w:rFonts w:cs="Arial"/>
          <w:szCs w:val="20"/>
        </w:rPr>
        <w:t>, timing</w:t>
      </w:r>
      <w:r w:rsidRPr="00907111">
        <w:rPr>
          <w:rFonts w:cs="Arial"/>
          <w:szCs w:val="20"/>
        </w:rPr>
        <w:t xml:space="preserve"> and frequency</w:t>
      </w:r>
      <w:r>
        <w:rPr>
          <w:rFonts w:cs="Arial"/>
          <w:szCs w:val="20"/>
        </w:rPr>
        <w:t xml:space="preserve"> of engagement</w:t>
      </w:r>
      <w:r w:rsidR="00681773">
        <w:rPr>
          <w:rFonts w:cs="Arial"/>
          <w:szCs w:val="20"/>
        </w:rPr>
        <w:t xml:space="preserve"> with the disability sector</w:t>
      </w:r>
      <w:r>
        <w:rPr>
          <w:rFonts w:cs="Arial"/>
          <w:szCs w:val="20"/>
        </w:rPr>
        <w:t>. Consider</w:t>
      </w:r>
      <w:r w:rsidR="00346A54">
        <w:rPr>
          <w:rFonts w:cs="Arial"/>
          <w:szCs w:val="20"/>
        </w:rPr>
        <w:t>:</w:t>
      </w:r>
      <w:r>
        <w:rPr>
          <w:rFonts w:cs="Arial"/>
          <w:szCs w:val="20"/>
        </w:rPr>
        <w:t xml:space="preserve"> </w:t>
      </w:r>
    </w:p>
    <w:p w14:paraId="73F2AF76" w14:textId="5B791C0A" w:rsidR="00011E96" w:rsidRDefault="00027C93" w:rsidP="00011E96">
      <w:pPr>
        <w:pStyle w:val="ListParagraph"/>
        <w:numPr>
          <w:ilvl w:val="1"/>
          <w:numId w:val="19"/>
        </w:numPr>
        <w:tabs>
          <w:tab w:val="clear" w:pos="2835"/>
        </w:tabs>
        <w:spacing w:after="0" w:line="260" w:lineRule="exact"/>
        <w:rPr>
          <w:rFonts w:cs="Arial"/>
          <w:szCs w:val="20"/>
        </w:rPr>
      </w:pPr>
      <w:r>
        <w:rPr>
          <w:rFonts w:cs="Arial"/>
          <w:szCs w:val="20"/>
        </w:rPr>
        <w:t xml:space="preserve">consulting with </w:t>
      </w:r>
      <w:hyperlink r:id="rId27" w:history="1">
        <w:r w:rsidRPr="008379DC">
          <w:rPr>
            <w:rStyle w:val="Hyperlink"/>
            <w:rFonts w:cs="Arial"/>
            <w:szCs w:val="20"/>
          </w:rPr>
          <w:t>category lead agencies</w:t>
        </w:r>
      </w:hyperlink>
      <w:r>
        <w:rPr>
          <w:rFonts w:cs="Arial"/>
          <w:szCs w:val="20"/>
        </w:rPr>
        <w:t>, including seeking further advice from the respective category council on early engagement with the disability sector</w:t>
      </w:r>
      <w:r w:rsidR="00347DBD">
        <w:rPr>
          <w:rFonts w:cs="Arial"/>
          <w:szCs w:val="20"/>
        </w:rPr>
        <w:t>, or formation of a small working group</w:t>
      </w:r>
      <w:r w:rsidR="00C44716">
        <w:rPr>
          <w:rFonts w:cs="Arial"/>
          <w:szCs w:val="20"/>
        </w:rPr>
        <w:t xml:space="preserve"> which includes representatives from the disability sector,</w:t>
      </w:r>
      <w:r>
        <w:rPr>
          <w:rFonts w:cs="Arial"/>
          <w:szCs w:val="20"/>
        </w:rPr>
        <w:t xml:space="preserve"> to </w:t>
      </w:r>
      <w:r w:rsidR="00590305">
        <w:rPr>
          <w:rFonts w:cs="Arial"/>
          <w:szCs w:val="20"/>
        </w:rPr>
        <w:t>inform and/or co-design</w:t>
      </w:r>
      <w:r>
        <w:rPr>
          <w:rFonts w:cs="Arial"/>
          <w:szCs w:val="20"/>
        </w:rPr>
        <w:t xml:space="preserve"> all stages of the procurement lifecycle</w:t>
      </w:r>
      <w:r w:rsidR="00CC1A4C">
        <w:rPr>
          <w:rFonts w:cs="Arial"/>
          <w:szCs w:val="20"/>
        </w:rPr>
        <w:t xml:space="preserve"> (e.g. </w:t>
      </w:r>
      <w:r w:rsidR="00B95BBB">
        <w:rPr>
          <w:rFonts w:cs="Arial"/>
          <w:szCs w:val="20"/>
        </w:rPr>
        <w:t xml:space="preserve">consulting with accessibility experts and conducting user testing </w:t>
      </w:r>
      <w:r w:rsidR="00FC6066">
        <w:rPr>
          <w:rFonts w:cs="Arial"/>
          <w:szCs w:val="20"/>
        </w:rPr>
        <w:t xml:space="preserve">to ensure compliance with </w:t>
      </w:r>
      <w:hyperlink r:id="rId28" w:history="1">
        <w:r w:rsidR="00FC6066" w:rsidRPr="00587261">
          <w:rPr>
            <w:rStyle w:val="Hyperlink"/>
            <w:rFonts w:cs="Arial"/>
            <w:szCs w:val="20"/>
          </w:rPr>
          <w:t>Web Content Accessibility Guidelines</w:t>
        </w:r>
        <w:r w:rsidR="00FC6066">
          <w:rPr>
            <w:rStyle w:val="Hyperlink"/>
            <w:rFonts w:cs="Arial"/>
            <w:szCs w:val="20"/>
          </w:rPr>
          <w:t xml:space="preserve"> (WCAG)</w:t>
        </w:r>
        <w:r w:rsidR="00FC6066" w:rsidRPr="00587261">
          <w:rPr>
            <w:rStyle w:val="Hyperlink"/>
            <w:rFonts w:cs="Arial"/>
            <w:szCs w:val="20"/>
          </w:rPr>
          <w:t xml:space="preserve"> 2.1</w:t>
        </w:r>
      </w:hyperlink>
      <w:r w:rsidR="00FC6066">
        <w:rPr>
          <w:rFonts w:cs="Arial"/>
          <w:szCs w:val="20"/>
        </w:rPr>
        <w:t xml:space="preserve"> and the </w:t>
      </w:r>
      <w:hyperlink r:id="rId29" w:history="1">
        <w:r w:rsidR="00FC6066" w:rsidRPr="00587261">
          <w:rPr>
            <w:rStyle w:val="Hyperlink"/>
            <w:rFonts w:cs="Arial"/>
            <w:szCs w:val="20"/>
          </w:rPr>
          <w:t>Digital Service Standard</w:t>
        </w:r>
      </w:hyperlink>
      <w:r w:rsidR="00FC6066">
        <w:rPr>
          <w:rFonts w:cs="Arial"/>
          <w:szCs w:val="20"/>
        </w:rPr>
        <w:t xml:space="preserve"> when procuring IT systems)</w:t>
      </w:r>
    </w:p>
    <w:p w14:paraId="2D6C8B9C" w14:textId="29D85353" w:rsidR="00BF2C3B" w:rsidRPr="00011E96" w:rsidRDefault="003002C5" w:rsidP="00011E96">
      <w:pPr>
        <w:pStyle w:val="ListParagraph"/>
        <w:numPr>
          <w:ilvl w:val="1"/>
          <w:numId w:val="19"/>
        </w:numPr>
        <w:tabs>
          <w:tab w:val="clear" w:pos="2835"/>
        </w:tabs>
        <w:spacing w:after="0" w:line="260" w:lineRule="exact"/>
        <w:rPr>
          <w:rFonts w:cs="Arial"/>
          <w:szCs w:val="20"/>
        </w:rPr>
      </w:pPr>
      <w:r>
        <w:t xml:space="preserve">the </w:t>
      </w:r>
      <w:hyperlink r:id="rId30">
        <w:r w:rsidR="00BF2C3B" w:rsidRPr="00011E96">
          <w:rPr>
            <w:rStyle w:val="Hyperlink"/>
            <w:rFonts w:cs="Arial"/>
            <w:i/>
            <w:iCs/>
          </w:rPr>
          <w:t>Queensland Government Accessible Events Guide</w:t>
        </w:r>
      </w:hyperlink>
      <w:r w:rsidR="00BF2C3B" w:rsidRPr="00011E96">
        <w:rPr>
          <w:rFonts w:cs="Arial"/>
        </w:rPr>
        <w:t xml:space="preserve"> which has been developed to provide a greater understanding of design principles for accessible events, as well as practical measures that can be implemented when planning and executing events</w:t>
      </w:r>
    </w:p>
    <w:p w14:paraId="6DD0E1CC" w14:textId="43237B8C" w:rsidR="00944907" w:rsidRDefault="003002C5" w:rsidP="005B409F">
      <w:pPr>
        <w:pStyle w:val="ListParagraph"/>
        <w:numPr>
          <w:ilvl w:val="1"/>
          <w:numId w:val="19"/>
        </w:numPr>
        <w:tabs>
          <w:tab w:val="clear" w:pos="2835"/>
        </w:tabs>
        <w:spacing w:after="0" w:line="260" w:lineRule="exact"/>
        <w:rPr>
          <w:rFonts w:cs="Arial"/>
          <w:szCs w:val="20"/>
        </w:rPr>
      </w:pPr>
      <w:r>
        <w:t xml:space="preserve">the </w:t>
      </w:r>
      <w:hyperlink r:id="rId31" w:history="1">
        <w:r w:rsidR="00944907" w:rsidRPr="001C71ED">
          <w:rPr>
            <w:rStyle w:val="Hyperlink"/>
            <w:rFonts w:cs="Arial"/>
            <w:szCs w:val="20"/>
          </w:rPr>
          <w:t xml:space="preserve">Accessible communication </w:t>
        </w:r>
        <w:proofErr w:type="spellStart"/>
        <w:r w:rsidR="00944907" w:rsidRPr="001C71ED">
          <w:rPr>
            <w:rStyle w:val="Hyperlink"/>
            <w:rFonts w:cs="Arial"/>
            <w:szCs w:val="20"/>
          </w:rPr>
          <w:t>ForGov</w:t>
        </w:r>
        <w:proofErr w:type="spellEnd"/>
        <w:r w:rsidR="00944907" w:rsidRPr="001C71ED">
          <w:rPr>
            <w:rStyle w:val="Hyperlink"/>
            <w:rFonts w:cs="Arial"/>
            <w:szCs w:val="20"/>
          </w:rPr>
          <w:t xml:space="preserve"> webpage</w:t>
        </w:r>
      </w:hyperlink>
      <w:r w:rsidR="00944907">
        <w:rPr>
          <w:rFonts w:cs="Arial"/>
          <w:szCs w:val="20"/>
        </w:rPr>
        <w:t xml:space="preserve"> which contains a range of useful information on </w:t>
      </w:r>
      <w:r w:rsidR="00376AC3">
        <w:rPr>
          <w:rFonts w:cs="Arial"/>
          <w:szCs w:val="20"/>
        </w:rPr>
        <w:t>what accessible communication can look like.</w:t>
      </w:r>
      <w:r w:rsidR="00944907">
        <w:rPr>
          <w:rFonts w:cs="Arial"/>
          <w:szCs w:val="20"/>
        </w:rPr>
        <w:t xml:space="preserve"> </w:t>
      </w:r>
    </w:p>
    <w:p w14:paraId="55EC543B" w14:textId="77777777" w:rsidR="00BF2C3B" w:rsidRDefault="00BF2C3B" w:rsidP="00BF2C3B">
      <w:pPr>
        <w:pStyle w:val="ListParagraph"/>
        <w:numPr>
          <w:ilvl w:val="0"/>
          <w:numId w:val="19"/>
        </w:numPr>
        <w:tabs>
          <w:tab w:val="clear" w:pos="2835"/>
        </w:tabs>
        <w:spacing w:after="0" w:line="260" w:lineRule="exact"/>
        <w:rPr>
          <w:rFonts w:cs="Arial"/>
          <w:szCs w:val="20"/>
        </w:rPr>
      </w:pPr>
      <w:r>
        <w:rPr>
          <w:rFonts w:cs="Arial"/>
          <w:szCs w:val="20"/>
        </w:rPr>
        <w:t>If further</w:t>
      </w:r>
      <w:r w:rsidRPr="00DA5CF2">
        <w:rPr>
          <w:rFonts w:cs="Arial"/>
          <w:szCs w:val="20"/>
        </w:rPr>
        <w:t xml:space="preserve"> </w:t>
      </w:r>
      <w:r>
        <w:rPr>
          <w:rFonts w:cs="Arial"/>
          <w:szCs w:val="20"/>
        </w:rPr>
        <w:t>disability sector input is sought, several strategies and organisations exist to support individuals, systems and legal advocacy.</w:t>
      </w:r>
      <w:r>
        <w:rPr>
          <w:rStyle w:val="FootnoteReference"/>
          <w:rFonts w:cs="Arial"/>
          <w:szCs w:val="20"/>
        </w:rPr>
        <w:footnoteReference w:customMarkFollows="1" w:id="1"/>
        <w:t>1</w:t>
      </w:r>
      <w:r>
        <w:rPr>
          <w:rFonts w:cs="Arial"/>
          <w:szCs w:val="20"/>
        </w:rPr>
        <w:t xml:space="preserve"> The capacity of these organisations can be limited and consultation services may attract a fee, which should be factored as part of planning:</w:t>
      </w:r>
    </w:p>
    <w:p w14:paraId="666848E7" w14:textId="0ECC4910" w:rsidR="00BF2C3B" w:rsidRPr="00C96183" w:rsidRDefault="00BF2C3B" w:rsidP="00BF2C3B">
      <w:pPr>
        <w:pStyle w:val="ListParagraph"/>
        <w:numPr>
          <w:ilvl w:val="1"/>
          <w:numId w:val="19"/>
        </w:numPr>
        <w:tabs>
          <w:tab w:val="clear" w:pos="2835"/>
        </w:tabs>
        <w:spacing w:after="0" w:line="260" w:lineRule="exact"/>
        <w:rPr>
          <w:rFonts w:cs="Arial"/>
          <w:i/>
          <w:iCs/>
          <w:szCs w:val="20"/>
        </w:rPr>
      </w:pPr>
      <w:hyperlink r:id="rId32" w:history="1">
        <w:r w:rsidRPr="00C96183">
          <w:rPr>
            <w:rStyle w:val="Hyperlink"/>
            <w:i/>
            <w:iCs/>
          </w:rPr>
          <w:t xml:space="preserve">Good </w:t>
        </w:r>
        <w:r w:rsidR="00C96183" w:rsidRPr="00C96183">
          <w:rPr>
            <w:rStyle w:val="Hyperlink"/>
            <w:i/>
            <w:iCs/>
          </w:rPr>
          <w:t>P</w:t>
        </w:r>
        <w:r w:rsidRPr="00C96183">
          <w:rPr>
            <w:rStyle w:val="Hyperlink"/>
            <w:i/>
            <w:iCs/>
          </w:rPr>
          <w:t xml:space="preserve">ractice </w:t>
        </w:r>
        <w:r w:rsidR="00C96183" w:rsidRPr="00C96183">
          <w:rPr>
            <w:rStyle w:val="Hyperlink"/>
            <w:i/>
            <w:iCs/>
          </w:rPr>
          <w:t>G</w:t>
        </w:r>
        <w:r w:rsidRPr="00C96183">
          <w:rPr>
            <w:rStyle w:val="Hyperlink"/>
            <w:i/>
            <w:iCs/>
          </w:rPr>
          <w:t xml:space="preserve">uidelines for </w:t>
        </w:r>
        <w:r w:rsidR="00C96183" w:rsidRPr="00C96183">
          <w:rPr>
            <w:rStyle w:val="Hyperlink"/>
            <w:i/>
            <w:iCs/>
          </w:rPr>
          <w:t>E</w:t>
        </w:r>
        <w:r w:rsidRPr="00C96183">
          <w:rPr>
            <w:rStyle w:val="Hyperlink"/>
            <w:i/>
            <w:iCs/>
          </w:rPr>
          <w:t xml:space="preserve">ngaging with </w:t>
        </w:r>
        <w:r w:rsidR="00C96183" w:rsidRPr="00C96183">
          <w:rPr>
            <w:rStyle w:val="Hyperlink"/>
            <w:i/>
            <w:iCs/>
          </w:rPr>
          <w:t>P</w:t>
        </w:r>
        <w:r w:rsidRPr="00C96183">
          <w:rPr>
            <w:rStyle w:val="Hyperlink"/>
            <w:i/>
            <w:iCs/>
          </w:rPr>
          <w:t xml:space="preserve">eople with </w:t>
        </w:r>
        <w:r w:rsidR="00C96183" w:rsidRPr="00C96183">
          <w:rPr>
            <w:rStyle w:val="Hyperlink"/>
            <w:i/>
            <w:iCs/>
          </w:rPr>
          <w:t>D</w:t>
        </w:r>
        <w:r w:rsidRPr="00C96183">
          <w:rPr>
            <w:rStyle w:val="Hyperlink"/>
            <w:i/>
            <w:iCs/>
          </w:rPr>
          <w:t>isability</w:t>
        </w:r>
      </w:hyperlink>
    </w:p>
    <w:p w14:paraId="49C1AE38" w14:textId="77777777" w:rsidR="00BF2C3B" w:rsidRPr="00DA5CF2" w:rsidRDefault="00BF2C3B" w:rsidP="00BF2C3B">
      <w:pPr>
        <w:pStyle w:val="ListParagraph"/>
        <w:numPr>
          <w:ilvl w:val="1"/>
          <w:numId w:val="19"/>
        </w:numPr>
        <w:tabs>
          <w:tab w:val="clear" w:pos="2835"/>
        </w:tabs>
        <w:spacing w:after="0" w:line="260" w:lineRule="exact"/>
        <w:rPr>
          <w:rFonts w:cs="Arial"/>
          <w:szCs w:val="20"/>
        </w:rPr>
      </w:pPr>
      <w:hyperlink r:id="rId33" w:history="1">
        <w:r>
          <w:rPr>
            <w:rStyle w:val="Hyperlink"/>
          </w:rPr>
          <w:t>F</w:t>
        </w:r>
        <w:r w:rsidRPr="00832A3E">
          <w:rPr>
            <w:rStyle w:val="Hyperlink"/>
          </w:rPr>
          <w:t>unded disability peak</w:t>
        </w:r>
      </w:hyperlink>
    </w:p>
    <w:p w14:paraId="26456E31" w14:textId="77777777" w:rsidR="00BF2C3B" w:rsidRPr="00DA5CF2" w:rsidRDefault="00BF2C3B" w:rsidP="00BF2C3B">
      <w:pPr>
        <w:pStyle w:val="ListParagraph"/>
        <w:numPr>
          <w:ilvl w:val="1"/>
          <w:numId w:val="19"/>
        </w:numPr>
        <w:tabs>
          <w:tab w:val="clear" w:pos="2835"/>
        </w:tabs>
        <w:spacing w:after="0" w:line="260" w:lineRule="exact"/>
        <w:rPr>
          <w:rFonts w:cs="Arial"/>
          <w:szCs w:val="20"/>
        </w:rPr>
      </w:pPr>
      <w:hyperlink r:id="rId34" w:history="1">
        <w:r>
          <w:rPr>
            <w:rStyle w:val="Hyperlink"/>
          </w:rPr>
          <w:t>A</w:t>
        </w:r>
        <w:r w:rsidRPr="00832A3E">
          <w:rPr>
            <w:rStyle w:val="Hyperlink"/>
          </w:rPr>
          <w:t>dvocacy organisations</w:t>
        </w:r>
      </w:hyperlink>
    </w:p>
    <w:p w14:paraId="1F55A845" w14:textId="562088F0" w:rsidR="00347ED1" w:rsidRDefault="00BF2C3B" w:rsidP="00BF2C3B">
      <w:pPr>
        <w:numPr>
          <w:ilvl w:val="0"/>
          <w:numId w:val="12"/>
        </w:numPr>
        <w:spacing w:after="0" w:line="260" w:lineRule="exact"/>
        <w:ind w:left="360"/>
        <w:rPr>
          <w:rFonts w:cs="Arial"/>
          <w:szCs w:val="20"/>
        </w:rPr>
      </w:pPr>
      <w:r>
        <w:rPr>
          <w:rFonts w:cs="Arial"/>
          <w:szCs w:val="20"/>
        </w:rPr>
        <w:lastRenderedPageBreak/>
        <w:t xml:space="preserve">As part of supply market analysis, identify any interested, capable and competitive </w:t>
      </w:r>
      <w:r w:rsidR="00B07ECF">
        <w:rPr>
          <w:rFonts w:cs="Arial"/>
          <w:szCs w:val="20"/>
        </w:rPr>
        <w:t>ADEs</w:t>
      </w:r>
      <w:r>
        <w:rPr>
          <w:rFonts w:cs="Arial"/>
          <w:szCs w:val="20"/>
        </w:rPr>
        <w:t xml:space="preserve"> (e.g. through the </w:t>
      </w:r>
      <w:hyperlink r:id="rId35" w:history="1">
        <w:proofErr w:type="spellStart"/>
        <w:r w:rsidRPr="00293A9B">
          <w:rPr>
            <w:rStyle w:val="Hyperlink"/>
            <w:rFonts w:cs="Arial"/>
            <w:szCs w:val="20"/>
          </w:rPr>
          <w:t>BuyAbility</w:t>
        </w:r>
        <w:proofErr w:type="spellEnd"/>
        <w:r w:rsidRPr="00293A9B">
          <w:rPr>
            <w:rStyle w:val="Hyperlink"/>
            <w:rFonts w:cs="Arial"/>
            <w:szCs w:val="20"/>
          </w:rPr>
          <w:t xml:space="preserve"> Social Enterprise Directory</w:t>
        </w:r>
      </w:hyperlink>
      <w:r>
        <w:rPr>
          <w:rFonts w:cs="Arial"/>
          <w:szCs w:val="20"/>
        </w:rPr>
        <w:t>),</w:t>
      </w:r>
      <w:r w:rsidR="006C619B">
        <w:rPr>
          <w:rFonts w:cs="Arial"/>
          <w:szCs w:val="20"/>
        </w:rPr>
        <w:t xml:space="preserve"> and</w:t>
      </w:r>
      <w:r w:rsidR="00986C86">
        <w:rPr>
          <w:rFonts w:cs="Arial"/>
          <w:szCs w:val="20"/>
        </w:rPr>
        <w:t xml:space="preserve"> disability-owned businesses and social</w:t>
      </w:r>
      <w:r w:rsidR="00347ED1">
        <w:rPr>
          <w:rFonts w:cs="Arial"/>
          <w:szCs w:val="20"/>
        </w:rPr>
        <w:t xml:space="preserve"> enterprises that specialise in accessible and inclusive goods and/or services.</w:t>
      </w:r>
    </w:p>
    <w:p w14:paraId="5144BE9F" w14:textId="097A939C" w:rsidR="00BF2C3B" w:rsidRDefault="00347ED1" w:rsidP="00BF2C3B">
      <w:pPr>
        <w:numPr>
          <w:ilvl w:val="0"/>
          <w:numId w:val="12"/>
        </w:numPr>
        <w:spacing w:after="0" w:line="260" w:lineRule="exact"/>
        <w:ind w:left="360"/>
        <w:rPr>
          <w:rFonts w:cs="Arial"/>
          <w:szCs w:val="20"/>
        </w:rPr>
      </w:pPr>
      <w:r>
        <w:rPr>
          <w:rFonts w:cs="Arial"/>
          <w:szCs w:val="20"/>
        </w:rPr>
        <w:t>C</w:t>
      </w:r>
      <w:r w:rsidR="00BF2C3B">
        <w:rPr>
          <w:rFonts w:cs="Arial"/>
          <w:szCs w:val="20"/>
        </w:rPr>
        <w:t>onsider</w:t>
      </w:r>
      <w:r>
        <w:rPr>
          <w:rFonts w:cs="Arial"/>
          <w:szCs w:val="20"/>
        </w:rPr>
        <w:t xml:space="preserve"> using</w:t>
      </w:r>
      <w:r w:rsidR="00BF2C3B">
        <w:rPr>
          <w:rFonts w:cs="Arial"/>
          <w:szCs w:val="20"/>
        </w:rPr>
        <w:t xml:space="preserve"> flexible procurement </w:t>
      </w:r>
      <w:r>
        <w:rPr>
          <w:rFonts w:cs="Arial"/>
          <w:szCs w:val="20"/>
        </w:rPr>
        <w:t>techniques</w:t>
      </w:r>
      <w:r w:rsidR="00BF2C3B">
        <w:rPr>
          <w:rFonts w:cs="Arial"/>
          <w:szCs w:val="20"/>
        </w:rPr>
        <w:t xml:space="preserve"> (e.g. </w:t>
      </w:r>
      <w:proofErr w:type="gramStart"/>
      <w:r w:rsidR="00BF2C3B">
        <w:rPr>
          <w:rFonts w:cs="Arial"/>
          <w:szCs w:val="20"/>
        </w:rPr>
        <w:t>set-asides</w:t>
      </w:r>
      <w:proofErr w:type="gramEnd"/>
      <w:r w:rsidR="00BF2C3B">
        <w:rPr>
          <w:rFonts w:cs="Arial"/>
          <w:szCs w:val="20"/>
        </w:rPr>
        <w:t>) to increase opportunities for</w:t>
      </w:r>
      <w:r w:rsidR="00986C86">
        <w:rPr>
          <w:rFonts w:cs="Arial"/>
          <w:szCs w:val="20"/>
        </w:rPr>
        <w:t xml:space="preserve"> diverse suppliers</w:t>
      </w:r>
      <w:r w:rsidR="00BF2C3B">
        <w:rPr>
          <w:rFonts w:cs="Arial"/>
          <w:szCs w:val="20"/>
        </w:rPr>
        <w:t xml:space="preserve"> to participate in the procurement</w:t>
      </w:r>
      <w:r w:rsidR="005E7889">
        <w:rPr>
          <w:rFonts w:cs="Arial"/>
          <w:szCs w:val="20"/>
        </w:rPr>
        <w:t>.</w:t>
      </w:r>
      <w:r w:rsidR="00BF2C3B">
        <w:rPr>
          <w:rFonts w:cs="Arial"/>
          <w:szCs w:val="20"/>
        </w:rPr>
        <w:t xml:space="preserve">    </w:t>
      </w:r>
    </w:p>
    <w:p w14:paraId="427BBA8A" w14:textId="4E9C04AC" w:rsidR="00BF2C3B" w:rsidRPr="001666F6" w:rsidRDefault="00BF2C3B" w:rsidP="005B409F">
      <w:pPr>
        <w:numPr>
          <w:ilvl w:val="0"/>
          <w:numId w:val="12"/>
        </w:numPr>
        <w:spacing w:line="260" w:lineRule="exact"/>
        <w:ind w:left="357" w:hanging="357"/>
        <w:rPr>
          <w:rFonts w:cs="Arial"/>
          <w:szCs w:val="20"/>
        </w:rPr>
      </w:pPr>
      <w:r>
        <w:rPr>
          <w:rFonts w:cs="Arial"/>
          <w:szCs w:val="20"/>
        </w:rPr>
        <w:t>I</w:t>
      </w:r>
      <w:r w:rsidRPr="00907111">
        <w:rPr>
          <w:rFonts w:cs="Arial"/>
          <w:szCs w:val="20"/>
        </w:rPr>
        <w:t xml:space="preserve">nclude </w:t>
      </w:r>
      <w:r>
        <w:rPr>
          <w:rFonts w:cs="Arial"/>
          <w:szCs w:val="20"/>
        </w:rPr>
        <w:t>accessibility</w:t>
      </w:r>
      <w:r w:rsidRPr="00907111">
        <w:rPr>
          <w:rFonts w:cs="Arial"/>
          <w:szCs w:val="20"/>
        </w:rPr>
        <w:t xml:space="preserve"> as part of the risk assessment process – identify any mitigation measures that may be needed (e.g. multiple touch points with the sector by engaging early, initial planning, evaluation of tenders, product testing phase)</w:t>
      </w:r>
      <w:r>
        <w:rPr>
          <w:rFonts w:cs="Arial"/>
          <w:szCs w:val="20"/>
        </w:rPr>
        <w:t>.</w:t>
      </w:r>
    </w:p>
    <w:tbl>
      <w:tblPr>
        <w:tblStyle w:val="TableGrid"/>
        <w:tblW w:w="5000" w:type="pct"/>
        <w:tblLook w:val="04A0" w:firstRow="1" w:lastRow="0" w:firstColumn="1" w:lastColumn="0" w:noHBand="0" w:noVBand="1"/>
      </w:tblPr>
      <w:tblGrid>
        <w:gridCol w:w="10478"/>
      </w:tblGrid>
      <w:tr w:rsidR="00D41DF0" w:rsidRPr="0042343D" w14:paraId="331586DC" w14:textId="77777777" w:rsidTr="00390AC1">
        <w:tc>
          <w:tcPr>
            <w:tcW w:w="5000" w:type="pct"/>
            <w:shd w:val="clear" w:color="auto" w:fill="7F7F7F" w:themeFill="accent1" w:themeFillTint="80"/>
            <w:tcMar>
              <w:top w:w="113" w:type="dxa"/>
              <w:bottom w:w="113" w:type="dxa"/>
            </w:tcMar>
          </w:tcPr>
          <w:p w14:paraId="11C44EF3" w14:textId="77777777" w:rsidR="00D41DF0" w:rsidRPr="0042343D" w:rsidRDefault="00D41DF0" w:rsidP="005B409F">
            <w:pPr>
              <w:spacing w:after="0"/>
              <w:rPr>
                <w:b/>
                <w:bCs/>
              </w:rPr>
            </w:pPr>
            <w:r w:rsidRPr="0042343D">
              <w:rPr>
                <w:b/>
                <w:bCs/>
                <w:color w:val="FFFFFF" w:themeColor="background1"/>
              </w:rPr>
              <w:t>Important</w:t>
            </w:r>
          </w:p>
        </w:tc>
      </w:tr>
      <w:tr w:rsidR="00D41DF0" w:rsidRPr="0042343D" w14:paraId="42446687" w14:textId="77777777" w:rsidTr="00390AC1">
        <w:tc>
          <w:tcPr>
            <w:tcW w:w="5000" w:type="pct"/>
            <w:tcMar>
              <w:top w:w="113" w:type="dxa"/>
              <w:bottom w:w="113" w:type="dxa"/>
            </w:tcMar>
          </w:tcPr>
          <w:p w14:paraId="6C63E3D4" w14:textId="77777777" w:rsidR="00D41DF0" w:rsidRDefault="00D41DF0" w:rsidP="00390AC1">
            <w:pPr>
              <w:tabs>
                <w:tab w:val="left" w:pos="2835"/>
              </w:tabs>
              <w:rPr>
                <w:lang w:eastAsia="en-AU"/>
              </w:rPr>
            </w:pPr>
            <w:r w:rsidRPr="00D41DF0">
              <w:rPr>
                <w:lang w:eastAsia="en-AU"/>
              </w:rPr>
              <w:t xml:space="preserve">The </w:t>
            </w:r>
            <w:hyperlink r:id="rId36" w:tgtFrame="_blank" w:history="1">
              <w:r w:rsidRPr="00BD3A09">
                <w:rPr>
                  <w:rStyle w:val="Hyperlink"/>
                  <w:szCs w:val="20"/>
                </w:rPr>
                <w:t>Australian Human Rights Commission</w:t>
              </w:r>
            </w:hyperlink>
            <w:r w:rsidRPr="00D41DF0">
              <w:rPr>
                <w:lang w:eastAsia="en-AU"/>
              </w:rPr>
              <w:t xml:space="preserve"> (AHRC) may grant temporary exemption (up to 5 years) for some aspects of the DDA. Any exemptions would not be granted for new products or services and are subject to rigorous conditions as prescribed by the AHRC. Guidelines on how to apply for an exemption are available on the </w:t>
            </w:r>
            <w:hyperlink r:id="rId37" w:tgtFrame="_blank" w:history="1">
              <w:r w:rsidRPr="00BD3A09">
                <w:rPr>
                  <w:rStyle w:val="Hyperlink"/>
                  <w:szCs w:val="20"/>
                </w:rPr>
                <w:t>A</w:t>
              </w:r>
              <w:r>
                <w:rPr>
                  <w:rStyle w:val="Hyperlink"/>
                  <w:szCs w:val="20"/>
                </w:rPr>
                <w:t>HRC</w:t>
              </w:r>
              <w:r w:rsidRPr="00BD3A09">
                <w:rPr>
                  <w:rStyle w:val="Hyperlink"/>
                  <w:szCs w:val="20"/>
                </w:rPr>
                <w:t xml:space="preserve"> website</w:t>
              </w:r>
            </w:hyperlink>
            <w:r w:rsidRPr="00D41DF0">
              <w:rPr>
                <w:lang w:eastAsia="en-AU"/>
              </w:rPr>
              <w:t>, however exemption should not be considered a preferable or alternative option in lieu of appropriate planning and consultation.</w:t>
            </w:r>
          </w:p>
          <w:p w14:paraId="5BE383CE" w14:textId="219EE10B" w:rsidR="00FF512F" w:rsidRPr="0042343D" w:rsidRDefault="00022875" w:rsidP="005B409F">
            <w:pPr>
              <w:tabs>
                <w:tab w:val="left" w:pos="2835"/>
              </w:tabs>
              <w:spacing w:after="0"/>
              <w:rPr>
                <w:lang w:eastAsia="en-AU"/>
              </w:rPr>
            </w:pPr>
            <w:r>
              <w:rPr>
                <w:lang w:eastAsia="en-AU"/>
              </w:rPr>
              <w:t>T</w:t>
            </w:r>
            <w:r w:rsidR="00854616">
              <w:rPr>
                <w:lang w:eastAsia="en-AU"/>
              </w:rPr>
              <w:t xml:space="preserve">he </w:t>
            </w:r>
            <w:hyperlink r:id="rId38" w:history="1">
              <w:r w:rsidR="00854616" w:rsidRPr="00C90A78">
                <w:rPr>
                  <w:rStyle w:val="Hyperlink"/>
                  <w:lang w:eastAsia="en-AU"/>
                </w:rPr>
                <w:t>Queensland Human Rights Commission</w:t>
              </w:r>
            </w:hyperlink>
            <w:r w:rsidR="00854616">
              <w:rPr>
                <w:lang w:eastAsia="en-AU"/>
              </w:rPr>
              <w:t xml:space="preserve"> (QHRC) provides a process for organisations or individuals to apply for an exemption from certain provisions of the </w:t>
            </w:r>
            <w:r w:rsidR="007653DE">
              <w:rPr>
                <w:lang w:eastAsia="en-AU"/>
              </w:rPr>
              <w:t>ADA</w:t>
            </w:r>
            <w:r w:rsidR="00854616">
              <w:rPr>
                <w:lang w:eastAsia="en-AU"/>
              </w:rPr>
              <w:t>.</w:t>
            </w:r>
            <w:r w:rsidR="007653DE">
              <w:rPr>
                <w:lang w:eastAsia="en-AU"/>
              </w:rPr>
              <w:t xml:space="preserve"> </w:t>
            </w:r>
            <w:r w:rsidR="00854616">
              <w:rPr>
                <w:lang w:eastAsia="en-AU"/>
              </w:rPr>
              <w:t>This allows them to undertake activities that might otherwise be considered discriminatory, provided the exemption is deemed reasonable and justified.</w:t>
            </w:r>
            <w:r w:rsidR="006A380E">
              <w:rPr>
                <w:lang w:eastAsia="en-AU"/>
              </w:rPr>
              <w:t xml:space="preserve"> For more information </w:t>
            </w:r>
            <w:r w:rsidR="003C3B4B">
              <w:rPr>
                <w:lang w:eastAsia="en-AU"/>
              </w:rPr>
              <w:t xml:space="preserve">on these exemptions, refer to the </w:t>
            </w:r>
            <w:hyperlink r:id="rId39" w:history="1">
              <w:r w:rsidR="003C3B4B" w:rsidRPr="00061FBC">
                <w:rPr>
                  <w:rStyle w:val="Hyperlink"/>
                  <w:lang w:eastAsia="en-AU"/>
                </w:rPr>
                <w:t>Exemptions under discrimination law webpage</w:t>
              </w:r>
            </w:hyperlink>
            <w:r w:rsidR="003C3B4B">
              <w:rPr>
                <w:lang w:eastAsia="en-AU"/>
              </w:rPr>
              <w:t xml:space="preserve"> of the </w:t>
            </w:r>
            <w:r w:rsidR="007653DE">
              <w:rPr>
                <w:lang w:eastAsia="en-AU"/>
              </w:rPr>
              <w:t>QHRC</w:t>
            </w:r>
            <w:r w:rsidR="003C3B4B">
              <w:rPr>
                <w:lang w:eastAsia="en-AU"/>
              </w:rPr>
              <w:t>.</w:t>
            </w:r>
          </w:p>
        </w:tc>
      </w:tr>
    </w:tbl>
    <w:p w14:paraId="434B66D5" w14:textId="3280AA6D" w:rsidR="00BF2C3B" w:rsidRDefault="00E64452" w:rsidP="001666F6">
      <w:pPr>
        <w:pStyle w:val="Heading3"/>
      </w:pPr>
      <w:bookmarkStart w:id="35" w:name="_Toc228868644"/>
      <w:r>
        <w:t xml:space="preserve">3.2 </w:t>
      </w:r>
      <w:r w:rsidR="00BF2C3B">
        <w:t>Go to market</w:t>
      </w:r>
      <w:bookmarkEnd w:id="35"/>
    </w:p>
    <w:p w14:paraId="3EB4E49A" w14:textId="77777777" w:rsidR="00BF2C3B" w:rsidRDefault="00BF2C3B" w:rsidP="003A6A17">
      <w:r>
        <w:t>In developing invitation documentation:</w:t>
      </w:r>
    </w:p>
    <w:p w14:paraId="1BD179BA" w14:textId="77777777" w:rsidR="004528A5" w:rsidRDefault="00C10C87" w:rsidP="003D3700">
      <w:pPr>
        <w:numPr>
          <w:ilvl w:val="0"/>
          <w:numId w:val="12"/>
        </w:numPr>
        <w:spacing w:after="0" w:line="260" w:lineRule="exact"/>
        <w:ind w:left="360"/>
        <w:rPr>
          <w:rFonts w:cs="Arial"/>
          <w:szCs w:val="20"/>
        </w:rPr>
      </w:pPr>
      <w:r>
        <w:rPr>
          <w:rFonts w:cs="Arial"/>
          <w:szCs w:val="20"/>
        </w:rPr>
        <w:t xml:space="preserve">subject to the objective, value, risk and complexity </w:t>
      </w:r>
      <w:r w:rsidR="00CC1256">
        <w:rPr>
          <w:rFonts w:cs="Arial"/>
          <w:szCs w:val="20"/>
        </w:rPr>
        <w:t xml:space="preserve">of the procurement, </w:t>
      </w:r>
      <w:r w:rsidR="003D3700">
        <w:rPr>
          <w:rFonts w:cs="Arial"/>
          <w:szCs w:val="20"/>
        </w:rPr>
        <w:t>e</w:t>
      </w:r>
      <w:r w:rsidR="003D3700" w:rsidRPr="00BD3A09">
        <w:rPr>
          <w:rFonts w:cs="Arial"/>
          <w:szCs w:val="20"/>
        </w:rPr>
        <w:t>nsure</w:t>
      </w:r>
      <w:r w:rsidR="003D3700">
        <w:rPr>
          <w:rFonts w:cs="Arial"/>
          <w:szCs w:val="20"/>
        </w:rPr>
        <w:t xml:space="preserve"> specifications</w:t>
      </w:r>
      <w:r w:rsidR="00CC1256">
        <w:rPr>
          <w:rFonts w:cs="Arial"/>
          <w:szCs w:val="20"/>
        </w:rPr>
        <w:t xml:space="preserve"> are</w:t>
      </w:r>
      <w:r w:rsidR="00A33082">
        <w:rPr>
          <w:rFonts w:cs="Arial"/>
          <w:szCs w:val="20"/>
        </w:rPr>
        <w:t>:</w:t>
      </w:r>
      <w:r w:rsidR="00CC1256">
        <w:rPr>
          <w:rFonts w:cs="Arial"/>
          <w:szCs w:val="20"/>
        </w:rPr>
        <w:t xml:space="preserve"> </w:t>
      </w:r>
    </w:p>
    <w:p w14:paraId="28F640EC" w14:textId="526C11ED" w:rsidR="003D3700" w:rsidRDefault="00CC1256" w:rsidP="005B409F">
      <w:pPr>
        <w:pStyle w:val="ListParagraph"/>
        <w:numPr>
          <w:ilvl w:val="1"/>
          <w:numId w:val="19"/>
        </w:numPr>
        <w:tabs>
          <w:tab w:val="clear" w:pos="2835"/>
        </w:tabs>
        <w:spacing w:after="0" w:line="260" w:lineRule="exact"/>
        <w:rPr>
          <w:rFonts w:cs="Arial"/>
          <w:szCs w:val="20"/>
        </w:rPr>
      </w:pPr>
      <w:r>
        <w:rPr>
          <w:rFonts w:cs="Arial"/>
          <w:szCs w:val="20"/>
        </w:rPr>
        <w:t>based on, and complies with, relevant legislation and disability standards and clearly articulate how accessibility has been considered</w:t>
      </w:r>
      <w:r w:rsidR="00A33082">
        <w:rPr>
          <w:rFonts w:cs="Arial"/>
          <w:szCs w:val="20"/>
        </w:rPr>
        <w:t xml:space="preserve"> </w:t>
      </w:r>
    </w:p>
    <w:p w14:paraId="64E56313" w14:textId="779FF25D" w:rsidR="007D2087" w:rsidRDefault="007D2087" w:rsidP="007D2087">
      <w:pPr>
        <w:pStyle w:val="ListParagraph"/>
        <w:numPr>
          <w:ilvl w:val="1"/>
          <w:numId w:val="19"/>
        </w:numPr>
        <w:tabs>
          <w:tab w:val="clear" w:pos="2835"/>
        </w:tabs>
        <w:spacing w:after="0" w:line="260" w:lineRule="exact"/>
        <w:rPr>
          <w:rFonts w:cs="Arial"/>
          <w:szCs w:val="20"/>
        </w:rPr>
      </w:pPr>
      <w:r w:rsidRPr="00D3165A">
        <w:rPr>
          <w:rFonts w:cs="Arial"/>
          <w:szCs w:val="20"/>
        </w:rPr>
        <w:t xml:space="preserve">consulted with the disability sector as </w:t>
      </w:r>
      <w:r>
        <w:rPr>
          <w:rFonts w:cs="Arial"/>
          <w:szCs w:val="20"/>
        </w:rPr>
        <w:t>applicable</w:t>
      </w:r>
      <w:r w:rsidRPr="00D3165A">
        <w:rPr>
          <w:rFonts w:cs="Arial"/>
          <w:szCs w:val="20"/>
        </w:rPr>
        <w:t xml:space="preserve"> with user-testing signed off as compliant with the applicable legislation including the DDA</w:t>
      </w:r>
      <w:r>
        <w:rPr>
          <w:rFonts w:cs="Arial"/>
          <w:szCs w:val="20"/>
        </w:rPr>
        <w:t>, the</w:t>
      </w:r>
      <w:r w:rsidRPr="00D3165A">
        <w:rPr>
          <w:rFonts w:cs="Arial"/>
          <w:szCs w:val="20"/>
        </w:rPr>
        <w:t xml:space="preserve"> </w:t>
      </w:r>
      <w:r w:rsidRPr="006F5CFC">
        <w:rPr>
          <w:rFonts w:cs="Arial"/>
          <w:i/>
          <w:iCs/>
          <w:szCs w:val="20"/>
        </w:rPr>
        <w:t>Disability Standards and Guidelines</w:t>
      </w:r>
      <w:r>
        <w:rPr>
          <w:rFonts w:cs="Arial"/>
          <w:szCs w:val="20"/>
        </w:rPr>
        <w:t>, and the DSA</w:t>
      </w:r>
    </w:p>
    <w:p w14:paraId="3CB2BF03" w14:textId="743669F9" w:rsidR="00BF2C3B" w:rsidRPr="002442D0" w:rsidRDefault="00BF2C3B" w:rsidP="00BF2C3B">
      <w:pPr>
        <w:numPr>
          <w:ilvl w:val="0"/>
          <w:numId w:val="12"/>
        </w:numPr>
        <w:spacing w:after="0" w:line="260" w:lineRule="exact"/>
        <w:ind w:left="360"/>
        <w:rPr>
          <w:rFonts w:cs="Arial"/>
          <w:szCs w:val="20"/>
        </w:rPr>
      </w:pPr>
      <w:r>
        <w:rPr>
          <w:rFonts w:cs="Arial"/>
          <w:szCs w:val="20"/>
        </w:rPr>
        <w:t xml:space="preserve">include </w:t>
      </w:r>
      <w:r w:rsidRPr="005A49E0">
        <w:rPr>
          <w:rFonts w:cs="Arial"/>
          <w:szCs w:val="20"/>
        </w:rPr>
        <w:t xml:space="preserve">a </w:t>
      </w:r>
      <w:r>
        <w:rPr>
          <w:rFonts w:cs="Arial"/>
          <w:szCs w:val="20"/>
        </w:rPr>
        <w:t>mandatory evaluation criterion</w:t>
      </w:r>
      <w:r w:rsidRPr="005A49E0">
        <w:rPr>
          <w:rFonts w:cs="Arial"/>
          <w:szCs w:val="20"/>
        </w:rPr>
        <w:t xml:space="preserve"> </w:t>
      </w:r>
      <w:r>
        <w:rPr>
          <w:rFonts w:cs="Arial"/>
          <w:szCs w:val="20"/>
        </w:rPr>
        <w:t>requiring offerors to warrant that they comply with the Code, including</w:t>
      </w:r>
      <w:r w:rsidRPr="005A49E0">
        <w:rPr>
          <w:rFonts w:cs="Arial"/>
          <w:szCs w:val="20"/>
        </w:rPr>
        <w:t xml:space="preserve"> </w:t>
      </w:r>
      <w:r>
        <w:rPr>
          <w:rFonts w:cs="Arial"/>
          <w:szCs w:val="20"/>
        </w:rPr>
        <w:t>the DDA</w:t>
      </w:r>
      <w:r w:rsidRPr="005A49E0">
        <w:rPr>
          <w:rFonts w:cs="Arial"/>
          <w:szCs w:val="20"/>
        </w:rPr>
        <w:t xml:space="preserve"> and </w:t>
      </w:r>
      <w:r w:rsidRPr="00AC73A9">
        <w:rPr>
          <w:rFonts w:cs="Arial"/>
          <w:i/>
          <w:iCs/>
          <w:szCs w:val="20"/>
        </w:rPr>
        <w:t>Disability Standards and Guidelines</w:t>
      </w:r>
    </w:p>
    <w:p w14:paraId="581B8E29" w14:textId="668C7C07" w:rsidR="005F6D52" w:rsidRDefault="0081740A" w:rsidP="00BF2C3B">
      <w:pPr>
        <w:numPr>
          <w:ilvl w:val="0"/>
          <w:numId w:val="12"/>
        </w:numPr>
        <w:spacing w:after="0" w:line="260" w:lineRule="exact"/>
        <w:ind w:left="360"/>
        <w:rPr>
          <w:rFonts w:cs="Arial"/>
          <w:szCs w:val="20"/>
        </w:rPr>
      </w:pPr>
      <w:r>
        <w:rPr>
          <w:rFonts w:cs="Arial"/>
          <w:szCs w:val="20"/>
        </w:rPr>
        <w:t xml:space="preserve">for significant procurement, </w:t>
      </w:r>
      <w:r w:rsidR="005F6D52">
        <w:rPr>
          <w:rFonts w:cs="Arial"/>
          <w:szCs w:val="20"/>
        </w:rPr>
        <w:t>apply a purposeful public procurement evaluation criterion</w:t>
      </w:r>
      <w:r w:rsidR="0017051B">
        <w:rPr>
          <w:rFonts w:cs="Arial"/>
          <w:szCs w:val="20"/>
        </w:rPr>
        <w:t xml:space="preserve">, </w:t>
      </w:r>
      <w:r w:rsidR="002E1DBE">
        <w:rPr>
          <w:rFonts w:cs="Arial"/>
          <w:szCs w:val="20"/>
        </w:rPr>
        <w:t xml:space="preserve">and depending on the outcomes pursued as part of the procurement strategy, </w:t>
      </w:r>
      <w:r w:rsidR="009C15B2">
        <w:rPr>
          <w:rFonts w:cs="Arial"/>
          <w:szCs w:val="20"/>
        </w:rPr>
        <w:t>encouraging inclusive employment practices in the private sector</w:t>
      </w:r>
      <w:r w:rsidR="00E8348A">
        <w:rPr>
          <w:rFonts w:cs="Arial"/>
          <w:szCs w:val="20"/>
        </w:rPr>
        <w:t xml:space="preserve"> to support people with disability</w:t>
      </w:r>
      <w:r>
        <w:rPr>
          <w:rFonts w:cs="Arial"/>
          <w:szCs w:val="20"/>
        </w:rPr>
        <w:t xml:space="preserve"> as a purposeful public procurement outcome</w:t>
      </w:r>
    </w:p>
    <w:p w14:paraId="3056B27A" w14:textId="367EFB13" w:rsidR="00BF2C3B" w:rsidRPr="005A49E0" w:rsidRDefault="00BF2C3B" w:rsidP="00BF2C3B">
      <w:pPr>
        <w:numPr>
          <w:ilvl w:val="0"/>
          <w:numId w:val="12"/>
        </w:numPr>
        <w:spacing w:after="0" w:line="260" w:lineRule="exact"/>
        <w:ind w:left="360"/>
        <w:rPr>
          <w:rFonts w:cs="Arial"/>
          <w:szCs w:val="20"/>
        </w:rPr>
      </w:pPr>
      <w:r>
        <w:rPr>
          <w:rFonts w:cs="Arial"/>
          <w:szCs w:val="20"/>
        </w:rPr>
        <w:t xml:space="preserve">request </w:t>
      </w:r>
      <w:r w:rsidRPr="005A49E0">
        <w:rPr>
          <w:rFonts w:cs="Arial"/>
          <w:szCs w:val="20"/>
        </w:rPr>
        <w:t>offerors to provide either a demonstration of compliance</w:t>
      </w:r>
      <w:r>
        <w:rPr>
          <w:rFonts w:cs="Arial"/>
          <w:szCs w:val="20"/>
        </w:rPr>
        <w:t xml:space="preserve"> with requirements under relevant legislation</w:t>
      </w:r>
      <w:r w:rsidRPr="005A49E0">
        <w:rPr>
          <w:rFonts w:cs="Arial"/>
          <w:szCs w:val="20"/>
        </w:rPr>
        <w:t xml:space="preserve"> or a demonstration of how </w:t>
      </w:r>
      <w:r w:rsidR="000F5265" w:rsidRPr="005A49E0">
        <w:rPr>
          <w:rFonts w:cs="Arial"/>
          <w:szCs w:val="20"/>
        </w:rPr>
        <w:t>equi</w:t>
      </w:r>
      <w:r w:rsidR="000F5265">
        <w:rPr>
          <w:rFonts w:cs="Arial"/>
          <w:szCs w:val="20"/>
        </w:rPr>
        <w:t>table</w:t>
      </w:r>
      <w:r w:rsidR="000F5265" w:rsidRPr="005A49E0">
        <w:rPr>
          <w:rFonts w:cs="Arial"/>
          <w:szCs w:val="20"/>
        </w:rPr>
        <w:t xml:space="preserve"> </w:t>
      </w:r>
      <w:r w:rsidRPr="005A49E0">
        <w:rPr>
          <w:rFonts w:cs="Arial"/>
          <w:szCs w:val="20"/>
        </w:rPr>
        <w:t>access will be achieved (where applicable)</w:t>
      </w:r>
      <w:r>
        <w:rPr>
          <w:rFonts w:cs="Arial"/>
          <w:szCs w:val="20"/>
        </w:rPr>
        <w:t xml:space="preserve"> (e.g. demonstrating use of universal design, DDA</w:t>
      </w:r>
      <w:r w:rsidR="00BA114D">
        <w:rPr>
          <w:rFonts w:cs="Arial"/>
          <w:szCs w:val="20"/>
        </w:rPr>
        <w:t xml:space="preserve"> and</w:t>
      </w:r>
      <w:r w:rsidR="00986915">
        <w:rPr>
          <w:rFonts w:cs="Arial"/>
          <w:szCs w:val="20"/>
        </w:rPr>
        <w:t xml:space="preserve"> </w:t>
      </w:r>
      <w:r w:rsidRPr="00AC73A9">
        <w:rPr>
          <w:rFonts w:cs="Arial"/>
          <w:i/>
          <w:iCs/>
          <w:szCs w:val="20"/>
        </w:rPr>
        <w:t>Disability Standards and Guidelines</w:t>
      </w:r>
      <w:r w:rsidR="00986915">
        <w:rPr>
          <w:rFonts w:cs="Arial"/>
          <w:i/>
          <w:iCs/>
          <w:szCs w:val="20"/>
        </w:rPr>
        <w:t xml:space="preserve"> </w:t>
      </w:r>
      <w:r>
        <w:rPr>
          <w:rFonts w:cs="Arial"/>
          <w:szCs w:val="20"/>
        </w:rPr>
        <w:t>compliance ha</w:t>
      </w:r>
      <w:r w:rsidR="00BA114D">
        <w:rPr>
          <w:rFonts w:cs="Arial"/>
          <w:szCs w:val="20"/>
        </w:rPr>
        <w:t>ve</w:t>
      </w:r>
      <w:r>
        <w:rPr>
          <w:rFonts w:cs="Arial"/>
          <w:szCs w:val="20"/>
        </w:rPr>
        <w:t xml:space="preserve"> been met,</w:t>
      </w:r>
      <w:r w:rsidR="00E53BA4">
        <w:rPr>
          <w:rFonts w:cs="Arial"/>
          <w:szCs w:val="20"/>
        </w:rPr>
        <w:t xml:space="preserve"> aligning activities with the </w:t>
      </w:r>
      <w:hyperlink r:id="rId40" w:history="1">
        <w:r w:rsidR="00BA114D" w:rsidRPr="002A117F">
          <w:rPr>
            <w:rStyle w:val="Hyperlink"/>
            <w:rFonts w:cs="Arial"/>
            <w:i/>
            <w:iCs/>
            <w:szCs w:val="20"/>
          </w:rPr>
          <w:t>Guidelines for the targeted recruitment of people with disability</w:t>
        </w:r>
      </w:hyperlink>
      <w:r w:rsidR="00ED0541">
        <w:rPr>
          <w:rFonts w:cs="Arial"/>
          <w:i/>
          <w:iCs/>
          <w:szCs w:val="20"/>
        </w:rPr>
        <w:t>,</w:t>
      </w:r>
      <w:r w:rsidR="00BA114D">
        <w:rPr>
          <w:rFonts w:cs="Arial"/>
          <w:szCs w:val="20"/>
        </w:rPr>
        <w:t xml:space="preserve"> </w:t>
      </w:r>
      <w:r>
        <w:rPr>
          <w:rFonts w:cs="Arial"/>
          <w:szCs w:val="20"/>
        </w:rPr>
        <w:t>additional accessibility measures, third-party accreditation)</w:t>
      </w:r>
    </w:p>
    <w:p w14:paraId="0909CABD" w14:textId="4072DC46" w:rsidR="00BF2C3B" w:rsidRDefault="00BF2C3B" w:rsidP="00BF2C3B">
      <w:pPr>
        <w:numPr>
          <w:ilvl w:val="0"/>
          <w:numId w:val="12"/>
        </w:numPr>
        <w:spacing w:after="0" w:line="260" w:lineRule="exact"/>
        <w:ind w:left="360"/>
        <w:rPr>
          <w:rFonts w:cs="Arial"/>
          <w:szCs w:val="20"/>
        </w:rPr>
      </w:pPr>
      <w:r>
        <w:rPr>
          <w:rFonts w:cs="Arial"/>
          <w:szCs w:val="20"/>
        </w:rPr>
        <w:t xml:space="preserve">request offerors to </w:t>
      </w:r>
      <w:r w:rsidRPr="005A49E0">
        <w:rPr>
          <w:rFonts w:cs="Arial"/>
          <w:szCs w:val="20"/>
        </w:rPr>
        <w:t>demonstrat</w:t>
      </w:r>
      <w:r>
        <w:rPr>
          <w:rFonts w:cs="Arial"/>
          <w:szCs w:val="20"/>
        </w:rPr>
        <w:t>e</w:t>
      </w:r>
      <w:r w:rsidRPr="005A49E0">
        <w:rPr>
          <w:rFonts w:cs="Arial"/>
          <w:szCs w:val="20"/>
        </w:rPr>
        <w:t xml:space="preserve"> how minimum standards have been exceeded to achieve greater accessibility (e.g. records of user-testing prototypes).</w:t>
      </w:r>
      <w:r>
        <w:rPr>
          <w:rFonts w:cs="Arial"/>
          <w:szCs w:val="20"/>
        </w:rPr>
        <w:t xml:space="preserve"> Exceeding minimum standards should be encouraged to practically and realistically meet the need of people with disability</w:t>
      </w:r>
    </w:p>
    <w:p w14:paraId="57B37506" w14:textId="70E0F290" w:rsidR="00BF2C3B" w:rsidRPr="005A49E0" w:rsidRDefault="00BF2C3B" w:rsidP="00BF2C3B">
      <w:pPr>
        <w:numPr>
          <w:ilvl w:val="0"/>
          <w:numId w:val="12"/>
        </w:numPr>
        <w:spacing w:after="0" w:line="260" w:lineRule="exact"/>
        <w:ind w:left="360"/>
        <w:rPr>
          <w:rFonts w:cs="Arial"/>
          <w:szCs w:val="20"/>
        </w:rPr>
      </w:pPr>
      <w:r>
        <w:rPr>
          <w:rFonts w:cs="Arial"/>
          <w:szCs w:val="20"/>
        </w:rPr>
        <w:t>ensure this is m</w:t>
      </w:r>
      <w:r w:rsidRPr="00444F3F">
        <w:rPr>
          <w:rFonts w:cs="Arial"/>
          <w:szCs w:val="20"/>
        </w:rPr>
        <w:t>ade available in</w:t>
      </w:r>
      <w:r>
        <w:rPr>
          <w:rFonts w:cs="Arial"/>
          <w:szCs w:val="20"/>
        </w:rPr>
        <w:t xml:space="preserve"> an</w:t>
      </w:r>
      <w:r w:rsidRPr="00444F3F">
        <w:rPr>
          <w:rFonts w:cs="Arial"/>
          <w:szCs w:val="20"/>
        </w:rPr>
        <w:t xml:space="preserve"> accessible format</w:t>
      </w:r>
      <w:r w:rsidR="00567544">
        <w:rPr>
          <w:rFonts w:cs="Arial"/>
          <w:szCs w:val="20"/>
        </w:rPr>
        <w:t xml:space="preserve"> (e.g. compliance with </w:t>
      </w:r>
      <w:hyperlink r:id="rId41" w:history="1">
        <w:r w:rsidR="00567544" w:rsidRPr="00587261">
          <w:rPr>
            <w:rStyle w:val="Hyperlink"/>
            <w:rFonts w:cs="Arial"/>
            <w:szCs w:val="20"/>
          </w:rPr>
          <w:t>W</w:t>
        </w:r>
        <w:r w:rsidR="00FC6066">
          <w:rPr>
            <w:rStyle w:val="Hyperlink"/>
            <w:rFonts w:cs="Arial"/>
            <w:szCs w:val="20"/>
          </w:rPr>
          <w:t>CAG</w:t>
        </w:r>
        <w:r w:rsidR="00567544" w:rsidRPr="00587261">
          <w:rPr>
            <w:rStyle w:val="Hyperlink"/>
            <w:rFonts w:cs="Arial"/>
            <w:szCs w:val="20"/>
          </w:rPr>
          <w:t xml:space="preserve"> 2.1</w:t>
        </w:r>
      </w:hyperlink>
      <w:r w:rsidR="00567544">
        <w:rPr>
          <w:rFonts w:cs="Arial"/>
          <w:szCs w:val="20"/>
        </w:rPr>
        <w:t xml:space="preserve"> and the </w:t>
      </w:r>
      <w:hyperlink r:id="rId42" w:history="1">
        <w:r w:rsidR="00567544" w:rsidRPr="00587261">
          <w:rPr>
            <w:rStyle w:val="Hyperlink"/>
            <w:rFonts w:cs="Arial"/>
            <w:szCs w:val="20"/>
          </w:rPr>
          <w:t>Digital Service Standard</w:t>
        </w:r>
      </w:hyperlink>
      <w:r w:rsidR="00567544">
        <w:rPr>
          <w:rFonts w:cs="Arial"/>
          <w:szCs w:val="20"/>
        </w:rPr>
        <w:t>)</w:t>
      </w:r>
      <w:r w:rsidRPr="00444F3F">
        <w:rPr>
          <w:rFonts w:cs="Arial"/>
          <w:szCs w:val="20"/>
        </w:rPr>
        <w:t xml:space="preserve"> to ensure all people with disability, or businesses that employ people with disability, can participate in</w:t>
      </w:r>
      <w:r>
        <w:rPr>
          <w:rFonts w:cs="Arial"/>
          <w:szCs w:val="20"/>
        </w:rPr>
        <w:t xml:space="preserve"> the</w:t>
      </w:r>
      <w:r w:rsidRPr="00444F3F">
        <w:rPr>
          <w:rFonts w:cs="Arial"/>
          <w:szCs w:val="20"/>
        </w:rPr>
        <w:t xml:space="preserve"> procurement.</w:t>
      </w:r>
    </w:p>
    <w:p w14:paraId="1A9D4225" w14:textId="015E2F6B" w:rsidR="00BF2C3B" w:rsidRDefault="00E64452" w:rsidP="001666F6">
      <w:pPr>
        <w:pStyle w:val="Heading3"/>
      </w:pPr>
      <w:bookmarkStart w:id="36" w:name="_Toc228868645"/>
      <w:r>
        <w:t xml:space="preserve">3.3 </w:t>
      </w:r>
      <w:r w:rsidR="00BF2C3B">
        <w:t>Evaluation and award</w:t>
      </w:r>
      <w:bookmarkEnd w:id="36"/>
    </w:p>
    <w:p w14:paraId="1DFF4C8D" w14:textId="77777777" w:rsidR="00BF2C3B" w:rsidRPr="00022E10" w:rsidRDefault="00BF2C3B" w:rsidP="00BD3A09">
      <w:pPr>
        <w:rPr>
          <w:rFonts w:cs="Arial"/>
          <w:bCs/>
          <w:szCs w:val="20"/>
        </w:rPr>
      </w:pPr>
      <w:r w:rsidRPr="00BD3A09">
        <w:rPr>
          <w:rFonts w:cs="Arial"/>
          <w:bCs/>
          <w:szCs w:val="20"/>
        </w:rPr>
        <w:t>In evaluating offers</w:t>
      </w:r>
      <w:r>
        <w:rPr>
          <w:rFonts w:cs="Arial"/>
          <w:bCs/>
          <w:szCs w:val="20"/>
        </w:rPr>
        <w:t>, consider</w:t>
      </w:r>
      <w:r w:rsidRPr="00BD3A09">
        <w:rPr>
          <w:rFonts w:cs="Arial"/>
          <w:bCs/>
          <w:szCs w:val="20"/>
        </w:rPr>
        <w:t>:</w:t>
      </w:r>
    </w:p>
    <w:p w14:paraId="66287F28" w14:textId="7D96E672" w:rsidR="00BF2C3B" w:rsidRPr="00907111" w:rsidRDefault="00BF2C3B" w:rsidP="00BF2C3B">
      <w:pPr>
        <w:numPr>
          <w:ilvl w:val="0"/>
          <w:numId w:val="13"/>
        </w:numPr>
        <w:spacing w:after="0" w:line="260" w:lineRule="exact"/>
        <w:ind w:left="360"/>
        <w:rPr>
          <w:rFonts w:cs="Arial"/>
          <w:szCs w:val="20"/>
        </w:rPr>
      </w:pPr>
      <w:r w:rsidRPr="00907111">
        <w:rPr>
          <w:rFonts w:cs="Arial"/>
          <w:szCs w:val="20"/>
        </w:rPr>
        <w:t>outlin</w:t>
      </w:r>
      <w:r>
        <w:rPr>
          <w:rFonts w:cs="Arial"/>
          <w:szCs w:val="20"/>
        </w:rPr>
        <w:t>ing</w:t>
      </w:r>
      <w:r w:rsidRPr="00907111">
        <w:rPr>
          <w:rFonts w:cs="Arial"/>
          <w:szCs w:val="20"/>
        </w:rPr>
        <w:t xml:space="preserve"> how </w:t>
      </w:r>
      <w:r>
        <w:rPr>
          <w:rFonts w:cs="Arial"/>
          <w:szCs w:val="20"/>
        </w:rPr>
        <w:t>accessibility requirements</w:t>
      </w:r>
      <w:r w:rsidRPr="00907111">
        <w:rPr>
          <w:rFonts w:cs="Arial"/>
          <w:szCs w:val="20"/>
        </w:rPr>
        <w:t xml:space="preserve"> will be evaluated, including how </w:t>
      </w:r>
      <w:r>
        <w:rPr>
          <w:rFonts w:cs="Arial"/>
          <w:szCs w:val="20"/>
        </w:rPr>
        <w:t xml:space="preserve">alternative solutions which provide </w:t>
      </w:r>
      <w:r w:rsidR="000F5265" w:rsidRPr="00907111">
        <w:rPr>
          <w:rFonts w:cs="Arial"/>
          <w:szCs w:val="20"/>
        </w:rPr>
        <w:t>equi</w:t>
      </w:r>
      <w:r w:rsidR="000F5265">
        <w:rPr>
          <w:rFonts w:cs="Arial"/>
          <w:szCs w:val="20"/>
        </w:rPr>
        <w:t>table</w:t>
      </w:r>
      <w:r w:rsidR="000F5265" w:rsidRPr="00907111">
        <w:rPr>
          <w:rFonts w:cs="Arial"/>
          <w:szCs w:val="20"/>
        </w:rPr>
        <w:t xml:space="preserve"> </w:t>
      </w:r>
      <w:r w:rsidRPr="00907111">
        <w:rPr>
          <w:rFonts w:cs="Arial"/>
          <w:szCs w:val="20"/>
        </w:rPr>
        <w:t xml:space="preserve">access will be evaluated (e.g. records of disability consultation by </w:t>
      </w:r>
      <w:r>
        <w:rPr>
          <w:rFonts w:cs="Arial"/>
          <w:szCs w:val="20"/>
        </w:rPr>
        <w:t>offerors</w:t>
      </w:r>
      <w:r w:rsidRPr="00907111">
        <w:rPr>
          <w:rFonts w:cs="Arial"/>
          <w:szCs w:val="20"/>
        </w:rPr>
        <w:t>)</w:t>
      </w:r>
    </w:p>
    <w:p w14:paraId="3AA31BBD" w14:textId="26208BEA" w:rsidR="00BF2C3B" w:rsidRDefault="00BF2C3B" w:rsidP="00BF2C3B">
      <w:pPr>
        <w:numPr>
          <w:ilvl w:val="0"/>
          <w:numId w:val="13"/>
        </w:numPr>
        <w:spacing w:after="160" w:line="260" w:lineRule="exact"/>
        <w:ind w:left="360"/>
        <w:rPr>
          <w:rFonts w:cs="Arial"/>
          <w:szCs w:val="20"/>
        </w:rPr>
      </w:pPr>
      <w:r w:rsidRPr="00907111">
        <w:rPr>
          <w:rFonts w:cs="Arial"/>
          <w:szCs w:val="20"/>
        </w:rPr>
        <w:t>inclu</w:t>
      </w:r>
      <w:r>
        <w:rPr>
          <w:rFonts w:cs="Arial"/>
          <w:szCs w:val="20"/>
        </w:rPr>
        <w:t>ding</w:t>
      </w:r>
      <w:r w:rsidRPr="00907111">
        <w:rPr>
          <w:rFonts w:cs="Arial"/>
          <w:szCs w:val="20"/>
        </w:rPr>
        <w:t xml:space="preserve"> a person/s with disability </w:t>
      </w:r>
      <w:r w:rsidR="00A31835">
        <w:rPr>
          <w:rFonts w:cs="Arial"/>
          <w:szCs w:val="20"/>
        </w:rPr>
        <w:t>to enable offers to be evaluated</w:t>
      </w:r>
      <w:r w:rsidRPr="00907111">
        <w:rPr>
          <w:rFonts w:cs="Arial"/>
          <w:szCs w:val="20"/>
        </w:rPr>
        <w:t xml:space="preserve"> for accessibility compliance</w:t>
      </w:r>
      <w:r>
        <w:rPr>
          <w:rFonts w:cs="Arial"/>
          <w:szCs w:val="20"/>
        </w:rPr>
        <w:t>.</w:t>
      </w:r>
    </w:p>
    <w:p w14:paraId="1E6C0551" w14:textId="77777777" w:rsidR="00BF2C3B" w:rsidRDefault="00BF2C3B" w:rsidP="0033097B">
      <w:pPr>
        <w:rPr>
          <w:rFonts w:cs="Arial"/>
          <w:szCs w:val="20"/>
        </w:rPr>
      </w:pPr>
      <w:r>
        <w:rPr>
          <w:rFonts w:cs="Arial"/>
          <w:szCs w:val="20"/>
        </w:rPr>
        <w:t xml:space="preserve">The evaluation report </w:t>
      </w:r>
      <w:r w:rsidRPr="00022E10">
        <w:rPr>
          <w:rFonts w:cs="Arial"/>
          <w:szCs w:val="20"/>
        </w:rPr>
        <w:t>should specifically</w:t>
      </w:r>
      <w:r>
        <w:rPr>
          <w:rFonts w:cs="Arial"/>
          <w:szCs w:val="20"/>
        </w:rPr>
        <w:t xml:space="preserve"> include information on an</w:t>
      </w:r>
      <w:r w:rsidRPr="00022E10">
        <w:rPr>
          <w:rFonts w:cs="Arial"/>
          <w:szCs w:val="20"/>
        </w:rPr>
        <w:t xml:space="preserve"> assess</w:t>
      </w:r>
      <w:r>
        <w:rPr>
          <w:rFonts w:cs="Arial"/>
          <w:szCs w:val="20"/>
        </w:rPr>
        <w:t>ment of</w:t>
      </w:r>
      <w:r w:rsidRPr="00022E10">
        <w:rPr>
          <w:rFonts w:cs="Arial"/>
          <w:szCs w:val="20"/>
        </w:rPr>
        <w:t xml:space="preserve"> how </w:t>
      </w:r>
      <w:r>
        <w:rPr>
          <w:rFonts w:cs="Arial"/>
          <w:szCs w:val="20"/>
        </w:rPr>
        <w:t>the procured goods and/or services</w:t>
      </w:r>
      <w:r w:rsidRPr="00022E10">
        <w:rPr>
          <w:rFonts w:cs="Arial"/>
          <w:szCs w:val="20"/>
        </w:rPr>
        <w:t xml:space="preserve"> will be accessible to people with disability and advance the interests/improve outcomes for people with disability in line with</w:t>
      </w:r>
      <w:r>
        <w:rPr>
          <w:rFonts w:cs="Arial"/>
          <w:szCs w:val="20"/>
        </w:rPr>
        <w:t>:</w:t>
      </w:r>
      <w:r w:rsidRPr="00022E10">
        <w:rPr>
          <w:rFonts w:cs="Arial"/>
          <w:szCs w:val="20"/>
        </w:rPr>
        <w:t xml:space="preserve"> </w:t>
      </w:r>
    </w:p>
    <w:p w14:paraId="3114BE3B" w14:textId="1D3C55F6" w:rsidR="00BF2C3B" w:rsidRDefault="00BF2C3B" w:rsidP="00BF2C3B">
      <w:pPr>
        <w:numPr>
          <w:ilvl w:val="0"/>
          <w:numId w:val="13"/>
        </w:numPr>
        <w:spacing w:after="0" w:line="260" w:lineRule="exact"/>
        <w:ind w:left="360"/>
        <w:rPr>
          <w:rFonts w:cs="Arial"/>
          <w:szCs w:val="20"/>
        </w:rPr>
      </w:pPr>
      <w:r w:rsidRPr="00241A71">
        <w:rPr>
          <w:rFonts w:cs="Arial"/>
          <w:szCs w:val="20"/>
        </w:rPr>
        <w:t xml:space="preserve">Queensland’s commitments under, for example, </w:t>
      </w:r>
      <w:r w:rsidRPr="00101543">
        <w:rPr>
          <w:rFonts w:cs="Arial"/>
          <w:i/>
          <w:iCs/>
          <w:szCs w:val="20"/>
        </w:rPr>
        <w:t>Australia’s Disability Strategy 2021-31</w:t>
      </w:r>
      <w:r>
        <w:rPr>
          <w:rFonts w:cs="Arial"/>
          <w:szCs w:val="20"/>
        </w:rPr>
        <w:t>, and</w:t>
      </w:r>
    </w:p>
    <w:p w14:paraId="03D2B40E" w14:textId="77777777" w:rsidR="00BF2C3B" w:rsidRDefault="00BF2C3B" w:rsidP="00BF2C3B">
      <w:pPr>
        <w:numPr>
          <w:ilvl w:val="0"/>
          <w:numId w:val="13"/>
        </w:numPr>
        <w:spacing w:after="0" w:line="260" w:lineRule="exact"/>
        <w:ind w:left="360"/>
        <w:rPr>
          <w:rFonts w:cs="Arial"/>
          <w:szCs w:val="20"/>
        </w:rPr>
      </w:pPr>
      <w:r>
        <w:rPr>
          <w:rFonts w:cs="Arial"/>
          <w:szCs w:val="20"/>
        </w:rPr>
        <w:lastRenderedPageBreak/>
        <w:t xml:space="preserve">relevant legislation (e.g. DDA or DSA), standards and guidelines (e.g. </w:t>
      </w:r>
      <w:r w:rsidRPr="00101543">
        <w:rPr>
          <w:rFonts w:cs="Arial"/>
          <w:i/>
          <w:iCs/>
          <w:szCs w:val="20"/>
        </w:rPr>
        <w:t>Disability Standards and Guidelines</w:t>
      </w:r>
      <w:r>
        <w:rPr>
          <w:rFonts w:cs="Arial"/>
          <w:szCs w:val="20"/>
        </w:rPr>
        <w:t>).</w:t>
      </w:r>
    </w:p>
    <w:p w14:paraId="45522FAA" w14:textId="77777777" w:rsidR="00BF2C3B" w:rsidRPr="00101543" w:rsidRDefault="00BF2C3B" w:rsidP="00101543">
      <w:pPr>
        <w:pStyle w:val="NoSpacing"/>
      </w:pPr>
    </w:p>
    <w:p w14:paraId="7CFB5788" w14:textId="77777777" w:rsidR="00BF2C3B" w:rsidRDefault="00BF2C3B" w:rsidP="0077272B">
      <w:pPr>
        <w:rPr>
          <w:rFonts w:cs="Arial"/>
          <w:bCs/>
          <w:szCs w:val="20"/>
        </w:rPr>
      </w:pPr>
      <w:r w:rsidRPr="00BD3A09">
        <w:rPr>
          <w:rFonts w:cs="Arial"/>
          <w:bCs/>
          <w:szCs w:val="20"/>
        </w:rPr>
        <w:t>The resulting contract is to capture all relevant commitments made by the offeror with regards to</w:t>
      </w:r>
      <w:r>
        <w:rPr>
          <w:rFonts w:cs="Arial"/>
          <w:bCs/>
          <w:szCs w:val="20"/>
        </w:rPr>
        <w:t xml:space="preserve"> the Code,</w:t>
      </w:r>
      <w:r>
        <w:rPr>
          <w:rStyle w:val="CommentReference"/>
        </w:rPr>
        <w:t xml:space="preserve"> </w:t>
      </w:r>
      <w:r w:rsidRPr="00BD3A09">
        <w:rPr>
          <w:rFonts w:cs="Arial"/>
          <w:bCs/>
          <w:szCs w:val="20"/>
        </w:rPr>
        <w:t>including any monitoring (e.g. key performance indicators) and reporting obligations.</w:t>
      </w:r>
      <w:r>
        <w:rPr>
          <w:rFonts w:cs="Arial"/>
          <w:bCs/>
          <w:szCs w:val="20"/>
        </w:rPr>
        <w:t xml:space="preserve"> </w:t>
      </w:r>
      <w:r w:rsidRPr="00635FA4">
        <w:rPr>
          <w:rFonts w:cs="Arial"/>
          <w:bCs/>
          <w:szCs w:val="20"/>
        </w:rPr>
        <w:t xml:space="preserve">The contract must include a condition requiring ongoing compliance with the Code during the contract term </w:t>
      </w:r>
      <w:r w:rsidRPr="002B1703">
        <w:rPr>
          <w:rFonts w:cs="Arial"/>
          <w:bCs/>
          <w:szCs w:val="20"/>
        </w:rPr>
        <w:t>and which outlines that a breach of the Code is a breach of the contract.</w:t>
      </w:r>
      <w:r>
        <w:rPr>
          <w:rFonts w:cs="Arial"/>
          <w:bCs/>
          <w:szCs w:val="20"/>
        </w:rPr>
        <w:t xml:space="preserve"> </w:t>
      </w:r>
      <w:r w:rsidRPr="00BD3A09">
        <w:rPr>
          <w:rFonts w:cs="Arial"/>
          <w:bCs/>
          <w:szCs w:val="20"/>
        </w:rPr>
        <w:t xml:space="preserve"> </w:t>
      </w:r>
    </w:p>
    <w:p w14:paraId="515A073F" w14:textId="77777777" w:rsidR="00BF2C3B" w:rsidRPr="00BD3A09" w:rsidRDefault="00BF2C3B" w:rsidP="0077272B">
      <w:pPr>
        <w:rPr>
          <w:rFonts w:cs="Arial"/>
          <w:bCs/>
          <w:szCs w:val="20"/>
        </w:rPr>
      </w:pPr>
      <w:r w:rsidRPr="00BD3A09">
        <w:rPr>
          <w:rFonts w:cs="Arial"/>
          <w:bCs/>
          <w:szCs w:val="20"/>
        </w:rPr>
        <w:t xml:space="preserve">Buyers should clearly communicate to the successful offeror how </w:t>
      </w:r>
      <w:r>
        <w:rPr>
          <w:rFonts w:cs="Arial"/>
          <w:bCs/>
          <w:szCs w:val="20"/>
        </w:rPr>
        <w:t>the contract, including any monitoring and reporting obligations, will be managed</w:t>
      </w:r>
      <w:r w:rsidRPr="00BD3A09">
        <w:rPr>
          <w:rFonts w:cs="Arial"/>
          <w:bCs/>
          <w:szCs w:val="20"/>
        </w:rPr>
        <w:t xml:space="preserve"> throughout the life of the contract.</w:t>
      </w:r>
    </w:p>
    <w:p w14:paraId="05D4EC0F" w14:textId="2E3B5E25" w:rsidR="00BF2C3B" w:rsidRDefault="00E64452" w:rsidP="001666F6">
      <w:pPr>
        <w:pStyle w:val="Heading3"/>
      </w:pPr>
      <w:bookmarkStart w:id="37" w:name="_Toc228868646"/>
      <w:r>
        <w:t xml:space="preserve">3.4 </w:t>
      </w:r>
      <w:r w:rsidR="00BF2C3B">
        <w:t>Contract management</w:t>
      </w:r>
      <w:bookmarkEnd w:id="37"/>
    </w:p>
    <w:p w14:paraId="5470ABB4" w14:textId="63AA511A" w:rsidR="00BF2C3B" w:rsidRPr="00907111" w:rsidRDefault="00BF2C3B" w:rsidP="00BF2C3B">
      <w:pPr>
        <w:numPr>
          <w:ilvl w:val="0"/>
          <w:numId w:val="11"/>
        </w:numPr>
        <w:spacing w:after="0" w:line="260" w:lineRule="exact"/>
        <w:ind w:left="360"/>
        <w:rPr>
          <w:rFonts w:cs="Arial"/>
          <w:szCs w:val="20"/>
        </w:rPr>
      </w:pPr>
      <w:r>
        <w:rPr>
          <w:rFonts w:cs="Arial"/>
          <w:szCs w:val="20"/>
        </w:rPr>
        <w:t xml:space="preserve">Proactively manage the </w:t>
      </w:r>
      <w:r w:rsidRPr="00907111">
        <w:rPr>
          <w:rFonts w:cs="Arial"/>
          <w:szCs w:val="20"/>
        </w:rPr>
        <w:t xml:space="preserve">contract </w:t>
      </w:r>
      <w:r>
        <w:rPr>
          <w:rFonts w:cs="Arial"/>
          <w:szCs w:val="20"/>
        </w:rPr>
        <w:t xml:space="preserve">in line with the approved contract management plan. Refer to the </w:t>
      </w:r>
      <w:hyperlink r:id="rId43" w:history="1">
        <w:r w:rsidR="00755B6D" w:rsidRPr="000958ED">
          <w:rPr>
            <w:rStyle w:val="Hyperlink"/>
            <w:rFonts w:cs="Arial"/>
            <w:i/>
            <w:iCs/>
            <w:szCs w:val="20"/>
          </w:rPr>
          <w:t>Contract</w:t>
        </w:r>
        <w:r w:rsidR="00755B6D" w:rsidRPr="000958ED">
          <w:rPr>
            <w:rStyle w:val="Hyperlink"/>
            <w:i/>
            <w:iCs/>
          </w:rPr>
          <w:t xml:space="preserve"> management guide</w:t>
        </w:r>
      </w:hyperlink>
      <w:r>
        <w:rPr>
          <w:rFonts w:cs="Arial"/>
          <w:szCs w:val="20"/>
        </w:rPr>
        <w:t xml:space="preserve"> for further information on contract management.</w:t>
      </w:r>
    </w:p>
    <w:p w14:paraId="12EEBED9" w14:textId="77777777" w:rsidR="005103B8" w:rsidRPr="005103B8" w:rsidRDefault="005103B8" w:rsidP="00BF2C3B">
      <w:pPr>
        <w:pStyle w:val="ListParagraph"/>
        <w:numPr>
          <w:ilvl w:val="0"/>
          <w:numId w:val="11"/>
        </w:numPr>
        <w:tabs>
          <w:tab w:val="clear" w:pos="2835"/>
        </w:tabs>
        <w:spacing w:after="0" w:line="260" w:lineRule="exact"/>
        <w:ind w:left="360"/>
        <w:rPr>
          <w:rFonts w:cs="Arial"/>
          <w:szCs w:val="20"/>
        </w:rPr>
      </w:pPr>
      <w:r>
        <w:t>Where non-compliance with accessibility requirements is identified as part of contract delivery, buyers are to manage this as part of contract management, taking appropriate remedial action as required.</w:t>
      </w:r>
    </w:p>
    <w:p w14:paraId="0177F156" w14:textId="21139AC7" w:rsidR="00BF2C3B" w:rsidRDefault="00BF2C3B" w:rsidP="00BF2C3B">
      <w:pPr>
        <w:pStyle w:val="ListParagraph"/>
        <w:numPr>
          <w:ilvl w:val="0"/>
          <w:numId w:val="11"/>
        </w:numPr>
        <w:tabs>
          <w:tab w:val="clear" w:pos="2835"/>
        </w:tabs>
        <w:spacing w:after="0" w:line="260" w:lineRule="exact"/>
        <w:ind w:left="360"/>
        <w:rPr>
          <w:rFonts w:cs="Arial"/>
          <w:szCs w:val="20"/>
        </w:rPr>
      </w:pPr>
      <w:r>
        <w:rPr>
          <w:rFonts w:cs="Arial"/>
          <w:szCs w:val="20"/>
        </w:rPr>
        <w:t xml:space="preserve">Verify compliance (or </w:t>
      </w:r>
      <w:r w:rsidR="000F5265">
        <w:rPr>
          <w:rFonts w:cs="Arial"/>
          <w:szCs w:val="20"/>
        </w:rPr>
        <w:t xml:space="preserve">equitable </w:t>
      </w:r>
      <w:r>
        <w:rPr>
          <w:rFonts w:cs="Arial"/>
          <w:szCs w:val="20"/>
        </w:rPr>
        <w:t>access) has been obtained before accepting any good and/or service delivered under the contract.</w:t>
      </w:r>
    </w:p>
    <w:p w14:paraId="717214A8" w14:textId="73023EF0" w:rsidR="00BF2C3B" w:rsidRDefault="00F66BEC" w:rsidP="001666F6">
      <w:pPr>
        <w:pStyle w:val="Heading4"/>
      </w:pPr>
      <w:r>
        <w:t>Complaints regarding disability discrimination</w:t>
      </w:r>
    </w:p>
    <w:p w14:paraId="6F12C019" w14:textId="00634ABA" w:rsidR="00226A2D" w:rsidRDefault="00226A2D" w:rsidP="00A004FD">
      <w:pPr>
        <w:spacing w:after="0"/>
      </w:pPr>
      <w:r>
        <w:t xml:space="preserve">Procurement-related complaints </w:t>
      </w:r>
      <w:r w:rsidR="00F51BDE">
        <w:t xml:space="preserve">should, in the first instance, be managed in accordance </w:t>
      </w:r>
      <w:r w:rsidR="00C413E8">
        <w:t xml:space="preserve">with relevant agency processes </w:t>
      </w:r>
      <w:r w:rsidR="003B5002">
        <w:t xml:space="preserve">with reference to the </w:t>
      </w:r>
      <w:hyperlink r:id="rId44" w:history="1">
        <w:r w:rsidR="003B5002" w:rsidRPr="00BC51B8">
          <w:rPr>
            <w:rStyle w:val="Hyperlink"/>
            <w:i/>
            <w:iCs/>
          </w:rPr>
          <w:t>Complaints management guide</w:t>
        </w:r>
      </w:hyperlink>
      <w:r w:rsidR="003B5002">
        <w:t>.</w:t>
      </w:r>
      <w:r w:rsidR="00F51BDE">
        <w:t xml:space="preserve"> </w:t>
      </w:r>
      <w:r w:rsidR="003B5002">
        <w:t>Agencies should determine the appropriate pathway based on the complaint’s source, issues raised, and any relevant sensitivities.</w:t>
      </w:r>
    </w:p>
    <w:p w14:paraId="73B7EE8E" w14:textId="77777777" w:rsidR="00F51BDE" w:rsidRDefault="00F51BDE" w:rsidP="00A004FD">
      <w:pPr>
        <w:spacing w:after="0"/>
      </w:pPr>
    </w:p>
    <w:p w14:paraId="1BEEA075" w14:textId="1A0C9091" w:rsidR="00BF2C3B" w:rsidRDefault="00BF2C3B" w:rsidP="00A004FD">
      <w:pPr>
        <w:spacing w:after="0"/>
      </w:pPr>
      <w:r>
        <w:t xml:space="preserve">For suppliers and the community, </w:t>
      </w:r>
      <w:r w:rsidRPr="00D40EA1">
        <w:t xml:space="preserve">several mechanisms </w:t>
      </w:r>
      <w:r>
        <w:t>exist</w:t>
      </w:r>
      <w:r w:rsidRPr="00D40EA1">
        <w:t xml:space="preserve"> to investigate and respond to complaints regarding disability discrimination </w:t>
      </w:r>
      <w:proofErr w:type="gramStart"/>
      <w:r w:rsidRPr="00D40EA1">
        <w:t>as a result of</w:t>
      </w:r>
      <w:proofErr w:type="gramEnd"/>
      <w:r w:rsidRPr="00D40EA1">
        <w:t xml:space="preserve"> a procurement process</w:t>
      </w:r>
      <w:r>
        <w:t>:</w:t>
      </w:r>
    </w:p>
    <w:p w14:paraId="2C8E65B9" w14:textId="08E0FE85" w:rsidR="00BF2C3B" w:rsidRDefault="00BF2C3B" w:rsidP="00BF2C3B">
      <w:pPr>
        <w:numPr>
          <w:ilvl w:val="0"/>
          <w:numId w:val="13"/>
        </w:numPr>
        <w:spacing w:after="0" w:line="260" w:lineRule="exact"/>
        <w:ind w:left="360"/>
      </w:pPr>
      <w:r>
        <w:t>Procuring agency – raising, and resolving, a complaint</w:t>
      </w:r>
      <w:r w:rsidRPr="00D40EA1">
        <w:t xml:space="preserve"> with the </w:t>
      </w:r>
      <w:r>
        <w:t xml:space="preserve">buyer in the </w:t>
      </w:r>
      <w:r w:rsidRPr="00D40EA1">
        <w:t>first</w:t>
      </w:r>
      <w:r>
        <w:t xml:space="preserve"> instance</w:t>
      </w:r>
      <w:r w:rsidR="00936034">
        <w:t>.</w:t>
      </w:r>
    </w:p>
    <w:p w14:paraId="6DE12D0A" w14:textId="3A90D79C" w:rsidR="00BF2C3B" w:rsidRDefault="00BF2C3B" w:rsidP="00BF2C3B">
      <w:pPr>
        <w:numPr>
          <w:ilvl w:val="0"/>
          <w:numId w:val="13"/>
        </w:numPr>
        <w:spacing w:after="0" w:line="260" w:lineRule="exact"/>
        <w:ind w:left="360"/>
      </w:pPr>
      <w:hyperlink r:id="rId45" w:history="1">
        <w:r>
          <w:rPr>
            <w:rStyle w:val="Hyperlink"/>
          </w:rPr>
          <w:t>QHRC</w:t>
        </w:r>
      </w:hyperlink>
      <w:r>
        <w:t xml:space="preserve"> – raising a complaint with the QHRC, being an independent body, which will attempt to resolve complaints through a dispute resolution process, noting it does not have the power to decide if unlawful discrimination or other conduct has occurred</w:t>
      </w:r>
      <w:r w:rsidR="00936034">
        <w:t>.</w:t>
      </w:r>
    </w:p>
    <w:p w14:paraId="7289D9BB" w14:textId="61AC445A" w:rsidR="00BF2C3B" w:rsidRDefault="00BF2C3B" w:rsidP="00BF2C3B">
      <w:pPr>
        <w:numPr>
          <w:ilvl w:val="0"/>
          <w:numId w:val="13"/>
        </w:numPr>
        <w:spacing w:after="0" w:line="260" w:lineRule="exact"/>
        <w:ind w:left="360"/>
      </w:pPr>
      <w:hyperlink r:id="rId46" w:history="1">
        <w:r w:rsidRPr="0038315B">
          <w:rPr>
            <w:rStyle w:val="Hyperlink"/>
          </w:rPr>
          <w:t>Queensland Civil and Administrative Tribuna</w:t>
        </w:r>
        <w:r>
          <w:rPr>
            <w:rStyle w:val="Hyperlink"/>
          </w:rPr>
          <w:t>l (QCAT)</w:t>
        </w:r>
      </w:hyperlink>
      <w:r>
        <w:t xml:space="preserve"> – where </w:t>
      </w:r>
      <w:r w:rsidRPr="00D40EA1">
        <w:t xml:space="preserve">no agreement is reached and further negotiations are unable to resolve the complaint, the complainant has the option to escalate the complaint for a public hearing with the </w:t>
      </w:r>
      <w:r>
        <w:t>QCAT</w:t>
      </w:r>
      <w:r w:rsidRPr="00D40EA1">
        <w:t>, where any determination made is binding on all parties</w:t>
      </w:r>
      <w:r w:rsidR="00936034">
        <w:t>.</w:t>
      </w:r>
    </w:p>
    <w:p w14:paraId="2D72D9F0" w14:textId="6B6AA732" w:rsidR="00BF2C3B" w:rsidRDefault="00BF2C3B" w:rsidP="00BF2C3B">
      <w:pPr>
        <w:numPr>
          <w:ilvl w:val="0"/>
          <w:numId w:val="13"/>
        </w:numPr>
        <w:spacing w:after="0" w:line="260" w:lineRule="exact"/>
        <w:ind w:left="360"/>
      </w:pPr>
      <w:hyperlink r:id="rId47" w:history="1">
        <w:r w:rsidRPr="00B2452C">
          <w:rPr>
            <w:rStyle w:val="Hyperlink"/>
          </w:rPr>
          <w:t>A</w:t>
        </w:r>
        <w:r>
          <w:rPr>
            <w:rStyle w:val="Hyperlink"/>
          </w:rPr>
          <w:t>HRC</w:t>
        </w:r>
      </w:hyperlink>
      <w:r>
        <w:t xml:space="preserve"> – raising a complaint with the AHRC, being an independent third party which investigates complaints about discrimination and human rights breaches, which will attempt to resolve complaints through a conciliation process. Examples of non-compliance complaints with the DDA and other human rights issues investigated by the AHRC are outlined in </w:t>
      </w:r>
      <w:hyperlink w:anchor="_Appendix_2:_Complaint" w:history="1">
        <w:r w:rsidRPr="00F409D7">
          <w:rPr>
            <w:rStyle w:val="Hyperlink"/>
            <w:b/>
            <w:bCs/>
          </w:rPr>
          <w:t xml:space="preserve">Appendix </w:t>
        </w:r>
        <w:r w:rsidR="005429BF" w:rsidRPr="00F409D7">
          <w:rPr>
            <w:rStyle w:val="Hyperlink"/>
            <w:b/>
            <w:bCs/>
          </w:rPr>
          <w:t>2</w:t>
        </w:r>
      </w:hyperlink>
      <w:r>
        <w:t>.</w:t>
      </w:r>
    </w:p>
    <w:p w14:paraId="2A1FA188" w14:textId="0D8858E6" w:rsidR="00BF2C3B" w:rsidRDefault="00BF2C3B" w:rsidP="001666F6">
      <w:pPr>
        <w:pStyle w:val="Heading1"/>
      </w:pPr>
      <w:bookmarkStart w:id="38" w:name="_Toc204081478"/>
      <w:bookmarkStart w:id="39" w:name="_Toc204081479"/>
      <w:bookmarkStart w:id="40" w:name="_Toc204081480"/>
      <w:bookmarkStart w:id="41" w:name="_Toc204081481"/>
      <w:bookmarkStart w:id="42" w:name="_Toc204081482"/>
      <w:bookmarkStart w:id="43" w:name="_Toc204081483"/>
      <w:bookmarkStart w:id="44" w:name="_Toc204081484"/>
      <w:bookmarkStart w:id="45" w:name="_Toc204081485"/>
      <w:bookmarkStart w:id="46" w:name="_Toc204081486"/>
      <w:bookmarkStart w:id="47" w:name="_Toc204081532"/>
      <w:bookmarkStart w:id="48" w:name="_Toc204081533"/>
      <w:bookmarkStart w:id="49" w:name="_Toc204081534"/>
      <w:bookmarkStart w:id="50" w:name="_Toc204081535"/>
      <w:bookmarkStart w:id="51" w:name="_Toc204081536"/>
      <w:bookmarkStart w:id="52" w:name="_Toc204081537"/>
      <w:bookmarkStart w:id="53" w:name="_Toc204081538"/>
      <w:bookmarkStart w:id="54" w:name="_Toc204081539"/>
      <w:bookmarkStart w:id="55" w:name="_Toc204081540"/>
      <w:bookmarkStart w:id="56" w:name="_Toc204081541"/>
      <w:bookmarkStart w:id="57" w:name="_Toc204081542"/>
      <w:bookmarkStart w:id="58" w:name="_Toc204081543"/>
      <w:bookmarkStart w:id="59" w:name="_Toc204081544"/>
      <w:bookmarkStart w:id="60" w:name="_Toc204081545"/>
      <w:bookmarkStart w:id="61" w:name="_Toc204081546"/>
      <w:bookmarkStart w:id="62" w:name="_Toc204081547"/>
      <w:bookmarkStart w:id="63" w:name="_Toc204081548"/>
      <w:bookmarkStart w:id="64" w:name="_Toc204081549"/>
      <w:bookmarkStart w:id="65" w:name="_Toc204081550"/>
      <w:bookmarkStart w:id="66" w:name="_Toc204081551"/>
      <w:bookmarkStart w:id="67" w:name="_Toc204081552"/>
      <w:bookmarkStart w:id="68" w:name="_Toc204081553"/>
      <w:bookmarkStart w:id="69" w:name="_Toc204081554"/>
      <w:bookmarkStart w:id="70" w:name="_Toc204081555"/>
      <w:bookmarkStart w:id="71" w:name="_Toc204081556"/>
      <w:bookmarkStart w:id="72" w:name="_Toc204081557"/>
      <w:bookmarkStart w:id="73" w:name="_Toc204081558"/>
      <w:bookmarkStart w:id="74" w:name="_Toc204081559"/>
      <w:bookmarkStart w:id="75" w:name="_Toc204081560"/>
      <w:bookmarkStart w:id="76" w:name="_Toc204081561"/>
      <w:bookmarkStart w:id="77" w:name="_Toc204081562"/>
      <w:bookmarkStart w:id="78" w:name="_Toc204081563"/>
      <w:bookmarkStart w:id="79" w:name="_Toc204081564"/>
      <w:bookmarkStart w:id="80" w:name="_Toc204081565"/>
      <w:bookmarkStart w:id="81" w:name="_Toc204081566"/>
      <w:bookmarkStart w:id="82" w:name="_Toc204081567"/>
      <w:bookmarkStart w:id="83" w:name="_Toc204081568"/>
      <w:bookmarkStart w:id="84" w:name="_Toc204081569"/>
      <w:bookmarkStart w:id="85" w:name="_Toc204081570"/>
      <w:bookmarkStart w:id="86" w:name="_Toc204081571"/>
      <w:bookmarkStart w:id="87" w:name="_Toc204081572"/>
      <w:bookmarkStart w:id="88" w:name="_Toc204081573"/>
      <w:bookmarkStart w:id="89" w:name="_Toc204081574"/>
      <w:bookmarkStart w:id="90" w:name="_Toc204081575"/>
      <w:bookmarkStart w:id="91" w:name="_Toc204081576"/>
      <w:bookmarkStart w:id="92" w:name="_Toc204081577"/>
      <w:bookmarkStart w:id="93" w:name="_Toc204081578"/>
      <w:bookmarkStart w:id="94" w:name="_Toc204081579"/>
      <w:bookmarkStart w:id="95" w:name="_Toc204081580"/>
      <w:bookmarkStart w:id="96" w:name="_Toc204081581"/>
      <w:bookmarkStart w:id="97" w:name="_Toc204081582"/>
      <w:bookmarkStart w:id="98" w:name="_Toc204081583"/>
      <w:bookmarkStart w:id="99" w:name="_Toc204081584"/>
      <w:bookmarkStart w:id="100" w:name="_Toc204081585"/>
      <w:bookmarkStart w:id="101" w:name="_Toc204081586"/>
      <w:bookmarkStart w:id="102" w:name="_Toc204081587"/>
      <w:bookmarkStart w:id="103" w:name="_Toc204081588"/>
      <w:bookmarkStart w:id="104" w:name="_Toc204081589"/>
      <w:bookmarkStart w:id="105" w:name="_Toc204081590"/>
      <w:bookmarkStart w:id="106" w:name="_Toc204081591"/>
      <w:bookmarkStart w:id="107" w:name="_Toc204081592"/>
      <w:bookmarkStart w:id="108" w:name="_Toc204081593"/>
      <w:bookmarkStart w:id="109" w:name="_Toc204081594"/>
      <w:bookmarkStart w:id="110" w:name="_Toc204081595"/>
      <w:bookmarkStart w:id="111" w:name="_Toc204081596"/>
      <w:bookmarkStart w:id="112" w:name="_Toc204081597"/>
      <w:bookmarkStart w:id="113" w:name="_Toc204081598"/>
      <w:bookmarkStart w:id="114" w:name="_Toc204081599"/>
      <w:bookmarkStart w:id="115" w:name="_Toc204081600"/>
      <w:bookmarkStart w:id="116" w:name="_Toc204081601"/>
      <w:bookmarkStart w:id="117" w:name="_Toc204081602"/>
      <w:bookmarkStart w:id="118" w:name="_Toc204081603"/>
      <w:bookmarkStart w:id="119" w:name="_Toc204081604"/>
      <w:bookmarkStart w:id="120" w:name="_Toc204081605"/>
      <w:bookmarkStart w:id="121" w:name="_Toc204081606"/>
      <w:bookmarkStart w:id="122" w:name="_Toc204081607"/>
      <w:bookmarkStart w:id="123" w:name="_Toc204081608"/>
      <w:bookmarkStart w:id="124" w:name="_Toc204081609"/>
      <w:bookmarkStart w:id="125" w:name="_Toc204081610"/>
      <w:bookmarkStart w:id="126" w:name="_Toc204081611"/>
      <w:bookmarkStart w:id="127" w:name="_Toc204081612"/>
      <w:bookmarkStart w:id="128" w:name="_Toc204081613"/>
      <w:bookmarkStart w:id="129" w:name="_Toc204081614"/>
      <w:bookmarkStart w:id="130" w:name="_Toc204081615"/>
      <w:bookmarkStart w:id="131" w:name="_Toc204081616"/>
      <w:bookmarkStart w:id="132" w:name="_Toc204081617"/>
      <w:bookmarkStart w:id="133" w:name="_Toc204081618"/>
      <w:bookmarkStart w:id="134" w:name="_Toc183682546"/>
      <w:bookmarkStart w:id="135" w:name="_Toc22886864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Further</w:t>
      </w:r>
      <w:r w:rsidRPr="00B53F91">
        <w:t xml:space="preserve"> information</w:t>
      </w:r>
      <w:r>
        <w:t xml:space="preserve"> and support</w:t>
      </w:r>
      <w:bookmarkStart w:id="136" w:name="_Toc204081620"/>
      <w:bookmarkStart w:id="137" w:name="_Toc204081621"/>
      <w:bookmarkStart w:id="138" w:name="_Toc204081622"/>
      <w:bookmarkEnd w:id="134"/>
      <w:bookmarkEnd w:id="135"/>
      <w:bookmarkEnd w:id="136"/>
      <w:bookmarkEnd w:id="137"/>
      <w:bookmarkEnd w:id="138"/>
    </w:p>
    <w:p w14:paraId="1A957D07" w14:textId="5A964693" w:rsidR="005727FA" w:rsidRDefault="005727FA" w:rsidP="00BF2C3B">
      <w:pPr>
        <w:numPr>
          <w:ilvl w:val="0"/>
          <w:numId w:val="13"/>
        </w:numPr>
        <w:spacing w:after="0" w:line="260" w:lineRule="exact"/>
        <w:ind w:left="360"/>
      </w:pPr>
      <w:hyperlink r:id="rId48" w:history="1">
        <w:r w:rsidRPr="008D11EF">
          <w:rPr>
            <w:rStyle w:val="Hyperlink"/>
          </w:rPr>
          <w:t>Australian Disability Network</w:t>
        </w:r>
      </w:hyperlink>
      <w:r>
        <w:t xml:space="preserve"> – Provides information </w:t>
      </w:r>
      <w:r w:rsidR="008D11EF">
        <w:t>to assist with applying accessible procurement practices.</w:t>
      </w:r>
    </w:p>
    <w:p w14:paraId="1A84B3FA" w14:textId="639476D6" w:rsidR="00BF2C3B" w:rsidRDefault="00BF2C3B" w:rsidP="00BF2C3B">
      <w:pPr>
        <w:numPr>
          <w:ilvl w:val="0"/>
          <w:numId w:val="13"/>
        </w:numPr>
        <w:spacing w:after="0" w:line="260" w:lineRule="exact"/>
        <w:ind w:left="360"/>
      </w:pPr>
      <w:hyperlink r:id="rId49" w:history="1">
        <w:r w:rsidRPr="00A6681A">
          <w:rPr>
            <w:rStyle w:val="Hyperlink"/>
          </w:rPr>
          <w:t xml:space="preserve">Australian Government Department of </w:t>
        </w:r>
        <w:r w:rsidR="00735205">
          <w:rPr>
            <w:rStyle w:val="Hyperlink"/>
          </w:rPr>
          <w:t>Health, Disability and Ageing</w:t>
        </w:r>
      </w:hyperlink>
      <w:r w:rsidRPr="00A6681A">
        <w:t xml:space="preserve"> – Provides information on disability advocacy, including the National Standards for Disability Services (noting this is not covered under the DDA).</w:t>
      </w:r>
    </w:p>
    <w:p w14:paraId="6FBC7636" w14:textId="08735D44" w:rsidR="00BB5E0E" w:rsidRDefault="00BF2C3B" w:rsidP="00F743B5">
      <w:pPr>
        <w:numPr>
          <w:ilvl w:val="0"/>
          <w:numId w:val="13"/>
        </w:numPr>
        <w:spacing w:after="0" w:line="260" w:lineRule="exact"/>
        <w:ind w:left="360"/>
      </w:pPr>
      <w:hyperlink r:id="rId50" w:history="1">
        <w:r>
          <w:rPr>
            <w:rStyle w:val="Hyperlink"/>
          </w:rPr>
          <w:t>AHRC</w:t>
        </w:r>
      </w:hyperlink>
      <w:r>
        <w:t xml:space="preserve"> – Issues guidance and advice to assist persons and organisations with responsibilities under the DDA to avoid discrimination and meet their responsibilities</w:t>
      </w:r>
      <w:r w:rsidR="005C14A0">
        <w:t>, including p</w:t>
      </w:r>
      <w:r w:rsidR="00F743B5">
        <w:t>rovid</w:t>
      </w:r>
      <w:r w:rsidR="005C14A0">
        <w:t>ing</w:t>
      </w:r>
      <w:r w:rsidR="00F743B5">
        <w:t xml:space="preserve"> information on relevant Australian Standards (e.g. </w:t>
      </w:r>
      <w:hyperlink r:id="rId51" w:history="1">
        <w:r w:rsidR="00F743B5" w:rsidRPr="004B0483">
          <w:rPr>
            <w:rStyle w:val="Hyperlink"/>
          </w:rPr>
          <w:t>AS EN 301 549:2024</w:t>
        </w:r>
      </w:hyperlink>
      <w:r w:rsidR="005C14A0">
        <w:t xml:space="preserve"> for ICT Products and Services).</w:t>
      </w:r>
    </w:p>
    <w:p w14:paraId="48632592" w14:textId="09543111" w:rsidR="00BF2C3B" w:rsidRDefault="00BF2C3B" w:rsidP="00BF2C3B">
      <w:pPr>
        <w:numPr>
          <w:ilvl w:val="0"/>
          <w:numId w:val="13"/>
        </w:numPr>
        <w:spacing w:after="0" w:line="260" w:lineRule="exact"/>
        <w:ind w:left="360"/>
      </w:pPr>
      <w:hyperlink r:id="rId52" w:history="1">
        <w:r w:rsidRPr="00147475">
          <w:rPr>
            <w:rStyle w:val="Hyperlink"/>
          </w:rPr>
          <w:t>Disability Awareness</w:t>
        </w:r>
      </w:hyperlink>
      <w:r>
        <w:t xml:space="preserve">, </w:t>
      </w:r>
      <w:hyperlink r:id="rId53" w:history="1">
        <w:r w:rsidRPr="009B7DEB">
          <w:rPr>
            <w:rStyle w:val="Hyperlink"/>
          </w:rPr>
          <w:t>Understanding Disability Discrimination in Business</w:t>
        </w:r>
      </w:hyperlink>
      <w:r>
        <w:t xml:space="preserve"> and </w:t>
      </w:r>
      <w:hyperlink r:id="rId54" w:history="1">
        <w:r w:rsidR="001F202F">
          <w:rPr>
            <w:rStyle w:val="Hyperlink"/>
          </w:rPr>
          <w:t xml:space="preserve">About </w:t>
        </w:r>
        <w:r w:rsidRPr="00526802">
          <w:rPr>
            <w:rStyle w:val="Hyperlink"/>
          </w:rPr>
          <w:t>Universal Design</w:t>
        </w:r>
      </w:hyperlink>
      <w:r>
        <w:t xml:space="preserve"> – Free resources to assist with establishing a foundation of knowledge that will support an accessibility compliant procurement process.</w:t>
      </w:r>
    </w:p>
    <w:p w14:paraId="1EA53146" w14:textId="63878D7E" w:rsidR="00BF2C3B" w:rsidRDefault="00BF2C3B" w:rsidP="00BF2C3B">
      <w:pPr>
        <w:numPr>
          <w:ilvl w:val="0"/>
          <w:numId w:val="13"/>
        </w:numPr>
        <w:spacing w:after="0" w:line="260" w:lineRule="exact"/>
        <w:ind w:left="360"/>
      </w:pPr>
      <w:hyperlink r:id="rId55" w:history="1">
        <w:r w:rsidRPr="009E388E">
          <w:rPr>
            <w:rStyle w:val="Hyperlink"/>
          </w:rPr>
          <w:t>Disability services</w:t>
        </w:r>
      </w:hyperlink>
      <w:r>
        <w:t xml:space="preserve"> – </w:t>
      </w:r>
      <w:r w:rsidR="008D7D00">
        <w:t>Read about the</w:t>
      </w:r>
      <w:r>
        <w:t xml:space="preserve"> Queensland Government’s role in </w:t>
      </w:r>
      <w:r w:rsidR="00873C6C">
        <w:t>supporting people with disability, their families and carers.</w:t>
      </w:r>
      <w:r>
        <w:t xml:space="preserve"> </w:t>
      </w:r>
    </w:p>
    <w:p w14:paraId="54F840A5" w14:textId="2ADA9A78" w:rsidR="00C32752" w:rsidRDefault="00C32752" w:rsidP="00BF2C3B">
      <w:pPr>
        <w:numPr>
          <w:ilvl w:val="0"/>
          <w:numId w:val="13"/>
        </w:numPr>
        <w:spacing w:after="0" w:line="260" w:lineRule="exact"/>
        <w:ind w:left="360"/>
      </w:pPr>
      <w:hyperlink r:id="rId56" w:history="1">
        <w:r w:rsidRPr="00010757">
          <w:rPr>
            <w:rStyle w:val="Hyperlink"/>
          </w:rPr>
          <w:t>Queensland</w:t>
        </w:r>
        <w:r w:rsidR="004D4026" w:rsidRPr="00010757">
          <w:rPr>
            <w:rStyle w:val="Hyperlink"/>
          </w:rPr>
          <w:t>ers with</w:t>
        </w:r>
        <w:r w:rsidRPr="00010757">
          <w:rPr>
            <w:rStyle w:val="Hyperlink"/>
          </w:rPr>
          <w:t xml:space="preserve"> Disability Network</w:t>
        </w:r>
      </w:hyperlink>
      <w:r>
        <w:t xml:space="preserve"> </w:t>
      </w:r>
      <w:r w:rsidR="00537DA7">
        <w:t>–</w:t>
      </w:r>
      <w:r>
        <w:t xml:space="preserve"> </w:t>
      </w:r>
      <w:r w:rsidR="00537DA7">
        <w:t>Supports and advocates for people with disability across Queensland</w:t>
      </w:r>
      <w:r w:rsidR="009D296F">
        <w:t>.</w:t>
      </w:r>
    </w:p>
    <w:p w14:paraId="42601F19" w14:textId="4B814388" w:rsidR="00BF2C3B" w:rsidRDefault="00BF2C3B" w:rsidP="00BF2C3B">
      <w:pPr>
        <w:numPr>
          <w:ilvl w:val="0"/>
          <w:numId w:val="13"/>
        </w:numPr>
        <w:spacing w:after="0" w:line="260" w:lineRule="exact"/>
        <w:ind w:left="360"/>
      </w:pPr>
      <w:hyperlink r:id="rId57" w:history="1">
        <w:r w:rsidRPr="00A447D5">
          <w:rPr>
            <w:rStyle w:val="Hyperlink"/>
          </w:rPr>
          <w:t>Skills2Procure</w:t>
        </w:r>
      </w:hyperlink>
      <w:r>
        <w:t xml:space="preserve"> - Suite of training and development options for Queensland Government buyers to build procurement capability, including ensuring accessibility compliance in procurement. For more information, email </w:t>
      </w:r>
      <w:hyperlink r:id="rId58" w:history="1">
        <w:r w:rsidR="00594022" w:rsidRPr="00594022">
          <w:rPr>
            <w:rStyle w:val="Hyperlink"/>
          </w:rPr>
          <w:t>Skills2Procure@hpw.qld.gov.au</w:t>
        </w:r>
      </w:hyperlink>
      <w:r>
        <w:t>.</w:t>
      </w:r>
    </w:p>
    <w:p w14:paraId="7901F851" w14:textId="77777777" w:rsidR="00A71F51" w:rsidRDefault="00A71F51" w:rsidP="00A71F51">
      <w:pPr>
        <w:spacing w:after="0" w:line="260" w:lineRule="exact"/>
        <w:ind w:left="360"/>
      </w:pPr>
    </w:p>
    <w:p w14:paraId="1757B77F" w14:textId="77777777" w:rsidR="001666F6" w:rsidRDefault="001666F6" w:rsidP="001666F6">
      <w:pPr>
        <w:pStyle w:val="Heading1"/>
      </w:pPr>
      <w:bookmarkStart w:id="139" w:name="_Toc204081624"/>
      <w:bookmarkStart w:id="140" w:name="_Toc204081625"/>
      <w:bookmarkStart w:id="141" w:name="_Toc204081626"/>
      <w:bookmarkEnd w:id="139"/>
      <w:bookmarkEnd w:id="140"/>
      <w:bookmarkEnd w:id="141"/>
    </w:p>
    <w:p w14:paraId="1F5617D8" w14:textId="1371FF31" w:rsidR="005429BF" w:rsidRDefault="005429BF" w:rsidP="001666F6">
      <w:pPr>
        <w:pStyle w:val="Heading1"/>
      </w:pPr>
      <w:bookmarkStart w:id="142" w:name="_Appendix_1:_Applying"/>
      <w:bookmarkStart w:id="143" w:name="_Toc228868648"/>
      <w:bookmarkEnd w:id="142"/>
      <w:r>
        <w:lastRenderedPageBreak/>
        <w:t xml:space="preserve">Appendix 1: </w:t>
      </w:r>
      <w:r w:rsidR="000759F2">
        <w:t>Applying accessibility considerations to individual procurement activities</w:t>
      </w:r>
      <w:bookmarkEnd w:id="143"/>
    </w:p>
    <w:p w14:paraId="1D2C3835" w14:textId="61453BAD" w:rsidR="0002208D" w:rsidRDefault="0002208D" w:rsidP="0002208D">
      <w:pPr>
        <w:rPr>
          <w:rFonts w:asciiTheme="minorHAnsi" w:eastAsiaTheme="minorHAnsi" w:hAnsiTheme="minorHAnsi"/>
        </w:rPr>
      </w:pPr>
      <w:r>
        <w:t xml:space="preserve">The following examples are intended to demonstrate how accessibility considerations are </w:t>
      </w:r>
      <w:r w:rsidR="007F77CF">
        <w:t>applied to individual</w:t>
      </w:r>
      <w:r>
        <w:t xml:space="preserve"> procurement</w:t>
      </w:r>
      <w:r w:rsidR="007F77CF">
        <w:t xml:space="preserve"> activities</w:t>
      </w:r>
      <w:r>
        <w:t xml:space="preserve"> of varying risk. Please note: </w:t>
      </w:r>
    </w:p>
    <w:p w14:paraId="4475045F" w14:textId="77777777" w:rsidR="0002208D" w:rsidRDefault="0002208D" w:rsidP="0002208D">
      <w:pPr>
        <w:pStyle w:val="ListParagraph"/>
        <w:numPr>
          <w:ilvl w:val="0"/>
          <w:numId w:val="37"/>
        </w:numPr>
        <w:tabs>
          <w:tab w:val="clear" w:pos="2835"/>
        </w:tabs>
        <w:spacing w:after="160" w:line="276" w:lineRule="auto"/>
        <w:contextualSpacing/>
      </w:pPr>
      <w:r>
        <w:t>while other QPP 2026 requirements and considerations may apply, for the purposes of these examples they will not be addressed</w:t>
      </w:r>
    </w:p>
    <w:p w14:paraId="5835966A" w14:textId="77777777" w:rsidR="0002208D" w:rsidRDefault="0002208D" w:rsidP="0002208D">
      <w:pPr>
        <w:pStyle w:val="ListParagraph"/>
        <w:numPr>
          <w:ilvl w:val="0"/>
          <w:numId w:val="37"/>
        </w:numPr>
        <w:tabs>
          <w:tab w:val="clear" w:pos="2835"/>
        </w:tabs>
        <w:spacing w:after="160" w:line="276" w:lineRule="auto"/>
        <w:contextualSpacing/>
      </w:pPr>
      <w:r>
        <w:t>these examples have been developed with the assistance of generative AI tools</w:t>
      </w:r>
    </w:p>
    <w:p w14:paraId="1AD83B8C" w14:textId="77777777" w:rsidR="0002208D" w:rsidRDefault="0002208D" w:rsidP="0002208D">
      <w:pPr>
        <w:pStyle w:val="ListParagraph"/>
        <w:numPr>
          <w:ilvl w:val="0"/>
          <w:numId w:val="37"/>
        </w:numPr>
        <w:tabs>
          <w:tab w:val="clear" w:pos="2835"/>
        </w:tabs>
        <w:spacing w:after="160" w:line="276" w:lineRule="auto"/>
        <w:contextualSpacing/>
      </w:pPr>
      <w:r>
        <w:t>these examples outline a generic procurement procedure which may or may not reflect your agency’s procurement procedure.</w:t>
      </w:r>
    </w:p>
    <w:p w14:paraId="747137EF" w14:textId="77777777" w:rsidR="0002208D" w:rsidRDefault="0002208D" w:rsidP="005B409F">
      <w:pPr>
        <w:pStyle w:val="Heading2"/>
        <w:ind w:left="0" w:firstLine="0"/>
      </w:pPr>
      <w:bookmarkStart w:id="144" w:name="_Toc228868649"/>
      <w:r>
        <w:t>Example 1 - Significant procurement: Procuring diagnostic consumables</w:t>
      </w:r>
      <w:bookmarkEnd w:id="144"/>
    </w:p>
    <w:p w14:paraId="367BB001" w14:textId="77777777" w:rsidR="0002208D" w:rsidRDefault="0002208D" w:rsidP="005B409F">
      <w:pPr>
        <w:pStyle w:val="Heading3"/>
      </w:pPr>
      <w:bookmarkStart w:id="145" w:name="_Toc228868650"/>
      <w:r>
        <w:t>Scenario</w:t>
      </w:r>
      <w:bookmarkEnd w:id="145"/>
    </w:p>
    <w:p w14:paraId="421BEAA8" w14:textId="77777777" w:rsidR="0002208D" w:rsidRPr="005B409F" w:rsidRDefault="0002208D" w:rsidP="0002208D">
      <w:r w:rsidRPr="005B409F">
        <w:t>A Queensland Government hospital seeks to establish a common-use supply arrangement for diagnostic consumables, including:</w:t>
      </w:r>
    </w:p>
    <w:p w14:paraId="44061622" w14:textId="77777777" w:rsidR="0002208D" w:rsidRDefault="0002208D" w:rsidP="0002208D">
      <w:pPr>
        <w:pStyle w:val="ListParagraph"/>
        <w:numPr>
          <w:ilvl w:val="0"/>
          <w:numId w:val="38"/>
        </w:numPr>
        <w:tabs>
          <w:tab w:val="clear" w:pos="2835"/>
        </w:tabs>
        <w:spacing w:after="160" w:line="276" w:lineRule="auto"/>
        <w:contextualSpacing/>
        <w:rPr>
          <w:b/>
          <w:bCs/>
        </w:rPr>
      </w:pPr>
      <w:r>
        <w:t>pathology test kits (e.g. blood glucose strips, rapid antigen tests)</w:t>
      </w:r>
    </w:p>
    <w:p w14:paraId="388BEDCB" w14:textId="77777777" w:rsidR="0002208D" w:rsidRDefault="0002208D" w:rsidP="0002208D">
      <w:pPr>
        <w:numPr>
          <w:ilvl w:val="0"/>
          <w:numId w:val="39"/>
        </w:numPr>
        <w:spacing w:after="160" w:line="276" w:lineRule="auto"/>
      </w:pPr>
      <w:r>
        <w:t>specimen collection items (swabs, vials, lancets)</w:t>
      </w:r>
    </w:p>
    <w:p w14:paraId="6B2E5D9C" w14:textId="77777777" w:rsidR="0002208D" w:rsidRDefault="0002208D" w:rsidP="0002208D">
      <w:pPr>
        <w:numPr>
          <w:ilvl w:val="0"/>
          <w:numId w:val="39"/>
        </w:numPr>
        <w:spacing w:after="160" w:line="276" w:lineRule="auto"/>
      </w:pPr>
      <w:r>
        <w:t>reagents supplied with accompanying instructions.</w:t>
      </w:r>
    </w:p>
    <w:p w14:paraId="6CCA13D8" w14:textId="77777777" w:rsidR="0002208D" w:rsidRDefault="0002208D" w:rsidP="0002208D">
      <w:r>
        <w:t>Consumables may be:</w:t>
      </w:r>
    </w:p>
    <w:p w14:paraId="1F682E25" w14:textId="77777777" w:rsidR="0002208D" w:rsidRDefault="0002208D" w:rsidP="0002208D">
      <w:pPr>
        <w:numPr>
          <w:ilvl w:val="0"/>
          <w:numId w:val="40"/>
        </w:numPr>
        <w:spacing w:after="160" w:line="276" w:lineRule="auto"/>
      </w:pPr>
      <w:r>
        <w:t>used directly by clinicians</w:t>
      </w:r>
    </w:p>
    <w:p w14:paraId="7ABF11D6" w14:textId="77777777" w:rsidR="0002208D" w:rsidRDefault="0002208D" w:rsidP="0002208D">
      <w:pPr>
        <w:numPr>
          <w:ilvl w:val="0"/>
          <w:numId w:val="40"/>
        </w:numPr>
        <w:spacing w:after="160" w:line="276" w:lineRule="auto"/>
      </w:pPr>
      <w:r>
        <w:t>used by patients under supervision</w:t>
      </w:r>
    </w:p>
    <w:p w14:paraId="0F1C3B20" w14:textId="77777777" w:rsidR="0002208D" w:rsidRDefault="0002208D" w:rsidP="0002208D">
      <w:pPr>
        <w:numPr>
          <w:ilvl w:val="0"/>
          <w:numId w:val="40"/>
        </w:numPr>
        <w:spacing w:after="160" w:line="276" w:lineRule="auto"/>
      </w:pPr>
      <w:r>
        <w:t>self</w:t>
      </w:r>
      <w:r>
        <w:noBreakHyphen/>
        <w:t>administered by patients in clinics or community settings.</w:t>
      </w:r>
    </w:p>
    <w:p w14:paraId="4915022E" w14:textId="77777777" w:rsidR="0002208D" w:rsidRPr="00476B5A" w:rsidRDefault="0002208D" w:rsidP="001666F6">
      <w:pPr>
        <w:pStyle w:val="Heading3"/>
      </w:pPr>
      <w:bookmarkStart w:id="146" w:name="_Toc228868651"/>
      <w:r w:rsidRPr="00476B5A">
        <w:t>Stage 1: Plan</w:t>
      </w:r>
      <w:bookmarkEnd w:id="146"/>
    </w:p>
    <w:p w14:paraId="46018A75" w14:textId="77777777" w:rsidR="0002208D" w:rsidRDefault="0002208D" w:rsidP="0002208D">
      <w:r>
        <w:t>As consumables are handled by people with diverse physical, sensory and cognitive abilities, accessibility is an important consideration linked to patient safety, equity of access and correct use. Accordingly, outline accessibility as one of the objectives of the procurement.</w:t>
      </w:r>
    </w:p>
    <w:p w14:paraId="44298BFC" w14:textId="77777777" w:rsidR="0002208D" w:rsidRDefault="0002208D" w:rsidP="0002208D">
      <w:r>
        <w:t>Ensure risk assessment, scoping and specifications development are informed by consultation with the Medical Goods and Services category lead and a relevant disability representative.</w:t>
      </w:r>
    </w:p>
    <w:p w14:paraId="08EC2874" w14:textId="77777777" w:rsidR="0002208D" w:rsidRDefault="0002208D" w:rsidP="0002208D">
      <w:r>
        <w:rPr>
          <w:b/>
          <w:bCs/>
        </w:rPr>
        <w:t>Identify accessibility</w:t>
      </w:r>
      <w:r>
        <w:rPr>
          <w:b/>
          <w:bCs/>
        </w:rPr>
        <w:noBreakHyphen/>
        <w:t>related risks:</w:t>
      </w:r>
      <w:r>
        <w:t xml:space="preserve"> </w:t>
      </w:r>
    </w:p>
    <w:p w14:paraId="66D89ED0" w14:textId="77777777" w:rsidR="0002208D" w:rsidRDefault="0002208D" w:rsidP="0002208D">
      <w:pPr>
        <w:pStyle w:val="ListParagraph"/>
        <w:numPr>
          <w:ilvl w:val="0"/>
          <w:numId w:val="38"/>
        </w:numPr>
        <w:tabs>
          <w:tab w:val="clear" w:pos="2835"/>
        </w:tabs>
        <w:spacing w:after="160" w:line="276" w:lineRule="auto"/>
        <w:contextualSpacing/>
      </w:pPr>
      <w:r>
        <w:t>incorrect test results due to unreadable instructions or labelling</w:t>
      </w:r>
    </w:p>
    <w:p w14:paraId="1F518601" w14:textId="77777777" w:rsidR="0002208D" w:rsidRDefault="0002208D" w:rsidP="0002208D">
      <w:pPr>
        <w:pStyle w:val="ListParagraph"/>
        <w:numPr>
          <w:ilvl w:val="0"/>
          <w:numId w:val="38"/>
        </w:numPr>
        <w:tabs>
          <w:tab w:val="clear" w:pos="2835"/>
        </w:tabs>
        <w:spacing w:after="160" w:line="276" w:lineRule="auto"/>
        <w:contextualSpacing/>
      </w:pPr>
      <w:r>
        <w:t>exclusion of users with low vision, limited dexterity or cognitive impairment</w:t>
      </w:r>
    </w:p>
    <w:p w14:paraId="158E922F" w14:textId="77777777" w:rsidR="0002208D" w:rsidRDefault="0002208D" w:rsidP="0002208D">
      <w:pPr>
        <w:pStyle w:val="ListParagraph"/>
        <w:numPr>
          <w:ilvl w:val="0"/>
          <w:numId w:val="38"/>
        </w:numPr>
        <w:tabs>
          <w:tab w:val="clear" w:pos="2835"/>
        </w:tabs>
        <w:spacing w:after="160" w:line="276" w:lineRule="auto"/>
        <w:contextualSpacing/>
      </w:pPr>
      <w:r>
        <w:t>increased clinical error due to poorly differentiated components</w:t>
      </w:r>
    </w:p>
    <w:p w14:paraId="198AC2EF" w14:textId="77777777" w:rsidR="0002208D" w:rsidRDefault="0002208D" w:rsidP="0002208D">
      <w:r>
        <w:rPr>
          <w:b/>
          <w:bCs/>
        </w:rPr>
        <w:t>Confirm accessibility scope</w:t>
      </w:r>
      <w:r>
        <w:t xml:space="preserve"> covers: </w:t>
      </w:r>
    </w:p>
    <w:p w14:paraId="7B650497" w14:textId="77777777" w:rsidR="0002208D" w:rsidRDefault="0002208D" w:rsidP="0002208D">
      <w:pPr>
        <w:pStyle w:val="ListParagraph"/>
        <w:numPr>
          <w:ilvl w:val="0"/>
          <w:numId w:val="41"/>
        </w:numPr>
        <w:tabs>
          <w:tab w:val="clear" w:pos="2835"/>
        </w:tabs>
        <w:spacing w:after="160" w:line="276" w:lineRule="auto"/>
        <w:contextualSpacing/>
      </w:pPr>
      <w:r>
        <w:t>primary consumable items</w:t>
      </w:r>
    </w:p>
    <w:p w14:paraId="6D6E16C7" w14:textId="77777777" w:rsidR="0002208D" w:rsidRDefault="0002208D" w:rsidP="0002208D">
      <w:pPr>
        <w:pStyle w:val="ListParagraph"/>
        <w:numPr>
          <w:ilvl w:val="0"/>
          <w:numId w:val="41"/>
        </w:numPr>
        <w:tabs>
          <w:tab w:val="clear" w:pos="2835"/>
        </w:tabs>
        <w:spacing w:after="160" w:line="276" w:lineRule="auto"/>
        <w:contextualSpacing/>
      </w:pPr>
      <w:r>
        <w:t>packaging and seals</w:t>
      </w:r>
    </w:p>
    <w:p w14:paraId="336CCF4C" w14:textId="77777777" w:rsidR="0002208D" w:rsidRDefault="0002208D" w:rsidP="0002208D">
      <w:pPr>
        <w:pStyle w:val="ListParagraph"/>
        <w:numPr>
          <w:ilvl w:val="0"/>
          <w:numId w:val="41"/>
        </w:numPr>
        <w:tabs>
          <w:tab w:val="clear" w:pos="2835"/>
        </w:tabs>
        <w:spacing w:after="160" w:line="276" w:lineRule="auto"/>
        <w:contextualSpacing/>
      </w:pPr>
      <w:r>
        <w:t>labels (expiry dates, batch information)</w:t>
      </w:r>
    </w:p>
    <w:p w14:paraId="70596BF3" w14:textId="77777777" w:rsidR="0002208D" w:rsidRDefault="0002208D" w:rsidP="0002208D">
      <w:pPr>
        <w:pStyle w:val="ListParagraph"/>
        <w:numPr>
          <w:ilvl w:val="0"/>
          <w:numId w:val="41"/>
        </w:numPr>
        <w:tabs>
          <w:tab w:val="clear" w:pos="2835"/>
        </w:tabs>
        <w:spacing w:after="160" w:line="276" w:lineRule="auto"/>
        <w:contextualSpacing/>
      </w:pPr>
      <w:r>
        <w:t>instructions for use (IFUs), including diagrams and symbols</w:t>
      </w:r>
    </w:p>
    <w:p w14:paraId="318F4536" w14:textId="77777777" w:rsidR="0002208D" w:rsidRDefault="0002208D" w:rsidP="0002208D">
      <w:r>
        <w:rPr>
          <w:b/>
          <w:bCs/>
        </w:rPr>
        <w:t>Develop specifications</w:t>
      </w:r>
      <w:r>
        <w:t xml:space="preserve"> informed by accessibility principles:</w:t>
      </w:r>
    </w:p>
    <w:p w14:paraId="605EECE0" w14:textId="77777777" w:rsidR="0002208D" w:rsidRDefault="0002208D" w:rsidP="0002208D">
      <w:pPr>
        <w:numPr>
          <w:ilvl w:val="0"/>
          <w:numId w:val="42"/>
        </w:numPr>
        <w:spacing w:after="160" w:line="276" w:lineRule="auto"/>
      </w:pPr>
      <w:r>
        <w:rPr>
          <w:b/>
          <w:bCs/>
        </w:rPr>
        <w:t>Equitable use</w:t>
      </w:r>
      <w:r>
        <w:t xml:space="preserve"> – Diagnostic consumables can be used by people with and without disability without the need for segregated or “special” versions.</w:t>
      </w:r>
    </w:p>
    <w:p w14:paraId="34B2396C" w14:textId="77777777" w:rsidR="0002208D" w:rsidRDefault="0002208D" w:rsidP="0002208D">
      <w:pPr>
        <w:numPr>
          <w:ilvl w:val="0"/>
          <w:numId w:val="42"/>
        </w:numPr>
        <w:spacing w:after="160" w:line="276" w:lineRule="auto"/>
      </w:pPr>
      <w:r>
        <w:rPr>
          <w:b/>
          <w:bCs/>
        </w:rPr>
        <w:t>Flexibility in use</w:t>
      </w:r>
      <w:r>
        <w:t xml:space="preserve"> – Consumables accommodate a range of abilities (e.g. grip strength, vision, dexterity).</w:t>
      </w:r>
    </w:p>
    <w:p w14:paraId="3451BB3A" w14:textId="77777777" w:rsidR="0002208D" w:rsidRDefault="0002208D" w:rsidP="0002208D">
      <w:pPr>
        <w:numPr>
          <w:ilvl w:val="0"/>
          <w:numId w:val="42"/>
        </w:numPr>
        <w:spacing w:after="160" w:line="276" w:lineRule="auto"/>
      </w:pPr>
      <w:r>
        <w:rPr>
          <w:b/>
          <w:bCs/>
        </w:rPr>
        <w:t>Simple and intuitive use</w:t>
      </w:r>
      <w:r>
        <w:t xml:space="preserve"> – Packaging, labelling and instructions are easy to understand and follow.</w:t>
      </w:r>
    </w:p>
    <w:p w14:paraId="3E88757D" w14:textId="77777777" w:rsidR="0002208D" w:rsidRDefault="0002208D" w:rsidP="0002208D">
      <w:pPr>
        <w:numPr>
          <w:ilvl w:val="0"/>
          <w:numId w:val="42"/>
        </w:numPr>
        <w:spacing w:after="160" w:line="276" w:lineRule="auto"/>
      </w:pPr>
      <w:r>
        <w:rPr>
          <w:b/>
          <w:bCs/>
        </w:rPr>
        <w:lastRenderedPageBreak/>
        <w:t>Perceptible information</w:t>
      </w:r>
      <w:r>
        <w:t xml:space="preserve"> – Instructions and critical information are perceivable by people with sensory impairments.</w:t>
      </w:r>
    </w:p>
    <w:p w14:paraId="141018F3" w14:textId="77777777" w:rsidR="0002208D" w:rsidRDefault="0002208D" w:rsidP="0002208D">
      <w:pPr>
        <w:numPr>
          <w:ilvl w:val="0"/>
          <w:numId w:val="42"/>
        </w:numPr>
        <w:spacing w:after="160" w:line="276" w:lineRule="auto"/>
      </w:pPr>
      <w:r>
        <w:rPr>
          <w:b/>
          <w:bCs/>
        </w:rPr>
        <w:t>Tolerance for error</w:t>
      </w:r>
      <w:r>
        <w:t xml:space="preserve"> – Design and instructions minimise incorrect use and support safe recovery.</w:t>
      </w:r>
    </w:p>
    <w:p w14:paraId="4899E244" w14:textId="77777777" w:rsidR="0002208D" w:rsidRDefault="0002208D" w:rsidP="0002208D">
      <w:pPr>
        <w:numPr>
          <w:ilvl w:val="0"/>
          <w:numId w:val="42"/>
        </w:numPr>
        <w:spacing w:after="160" w:line="276" w:lineRule="auto"/>
      </w:pPr>
      <w:r>
        <w:rPr>
          <w:b/>
          <w:bCs/>
        </w:rPr>
        <w:t>Low physical effort</w:t>
      </w:r>
      <w:r>
        <w:t xml:space="preserve"> – Consumables can be opened, held and used with minimal force or fine motor control.</w:t>
      </w:r>
    </w:p>
    <w:p w14:paraId="528A2930" w14:textId="77777777" w:rsidR="0002208D" w:rsidRDefault="0002208D" w:rsidP="0002208D">
      <w:pPr>
        <w:numPr>
          <w:ilvl w:val="0"/>
          <w:numId w:val="42"/>
        </w:numPr>
        <w:spacing w:after="160" w:line="276" w:lineRule="auto"/>
      </w:pPr>
      <w:r>
        <w:rPr>
          <w:b/>
          <w:bCs/>
        </w:rPr>
        <w:t>Appropriate size and space for use</w:t>
      </w:r>
      <w:r>
        <w:t xml:space="preserve"> – Consumables are sized and shaped to support safe handling by diverse users.</w:t>
      </w:r>
    </w:p>
    <w:p w14:paraId="195AF227" w14:textId="77777777" w:rsidR="0002208D" w:rsidRDefault="0002208D" w:rsidP="001666F6">
      <w:pPr>
        <w:pStyle w:val="Heading3"/>
      </w:pPr>
      <w:bookmarkStart w:id="147" w:name="_Toc228868652"/>
      <w:r>
        <w:t>Stage 2: Go to market</w:t>
      </w:r>
      <w:bookmarkEnd w:id="147"/>
    </w:p>
    <w:p w14:paraId="5108823B" w14:textId="77777777" w:rsidR="0002208D" w:rsidRDefault="0002208D" w:rsidP="0002208D">
      <w:r>
        <w:rPr>
          <w:b/>
          <w:bCs/>
        </w:rPr>
        <w:t>Include any mandatory evaluation criteria</w:t>
      </w:r>
      <w:r>
        <w:t xml:space="preserve"> that suppliers must meet such as requiring offerors to warrant that they comply with the Queensland Government Supplier Code of Conduct, including the DDA and Disability Standards and Guidelines.</w:t>
      </w:r>
    </w:p>
    <w:p w14:paraId="4E78F6E3" w14:textId="6F4390A1" w:rsidR="0002208D" w:rsidRDefault="0002208D" w:rsidP="0002208D">
      <w:r>
        <w:rPr>
          <w:b/>
          <w:bCs/>
        </w:rPr>
        <w:t>Include desirable evaluation criteria and associated questions</w:t>
      </w:r>
      <w:r>
        <w:t xml:space="preserve"> to elicit responses from suppliers – these should be linked to the accessibility principles wherever possible and enable development of key performance indicators</w:t>
      </w:r>
      <w:r w:rsidR="002B0623">
        <w:t xml:space="preserve">. A selection of these have been </w:t>
      </w:r>
      <w:r w:rsidR="00C23204">
        <w:t>outlined in the table below as examples</w:t>
      </w:r>
      <w:r>
        <w:t>:</w:t>
      </w:r>
    </w:p>
    <w:tbl>
      <w:tblPr>
        <w:tblStyle w:val="TableGrid"/>
        <w:tblW w:w="5000" w:type="pct"/>
        <w:tblLook w:val="04A0" w:firstRow="1" w:lastRow="0" w:firstColumn="1" w:lastColumn="0" w:noHBand="0" w:noVBand="1"/>
      </w:tblPr>
      <w:tblGrid>
        <w:gridCol w:w="2253"/>
        <w:gridCol w:w="2789"/>
        <w:gridCol w:w="2647"/>
        <w:gridCol w:w="2789"/>
      </w:tblGrid>
      <w:tr w:rsidR="0002208D" w14:paraId="5593AF4F" w14:textId="77777777" w:rsidTr="005B409F">
        <w:tc>
          <w:tcPr>
            <w:tcW w:w="1075"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11A43A0F" w14:textId="77777777" w:rsidR="0002208D" w:rsidRPr="005B409F" w:rsidRDefault="0002208D" w:rsidP="005B409F">
            <w:pPr>
              <w:spacing w:after="0"/>
              <w:jc w:val="center"/>
              <w:rPr>
                <w:b/>
                <w:bCs/>
                <w:color w:val="FFFFFF" w:themeColor="background1"/>
              </w:rPr>
            </w:pPr>
            <w:r w:rsidRPr="005B409F">
              <w:rPr>
                <w:b/>
                <w:bCs/>
                <w:color w:val="FFFFFF" w:themeColor="background1"/>
              </w:rPr>
              <w:t>Accessibility principle</w:t>
            </w:r>
          </w:p>
        </w:tc>
        <w:tc>
          <w:tcPr>
            <w:tcW w:w="1331"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645411E3" w14:textId="77777777" w:rsidR="0002208D" w:rsidRPr="005B409F" w:rsidRDefault="0002208D" w:rsidP="005B409F">
            <w:pPr>
              <w:spacing w:after="0"/>
              <w:jc w:val="center"/>
              <w:rPr>
                <w:b/>
                <w:bCs/>
                <w:color w:val="FFFFFF" w:themeColor="background1"/>
              </w:rPr>
            </w:pPr>
            <w:r w:rsidRPr="005B409F">
              <w:rPr>
                <w:b/>
                <w:bCs/>
                <w:color w:val="FFFFFF" w:themeColor="background1"/>
              </w:rPr>
              <w:t>Evaluation criteria</w:t>
            </w:r>
          </w:p>
        </w:tc>
        <w:tc>
          <w:tcPr>
            <w:tcW w:w="1263"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083F1366" w14:textId="77777777" w:rsidR="0002208D" w:rsidRPr="005B409F" w:rsidRDefault="0002208D" w:rsidP="005B409F">
            <w:pPr>
              <w:spacing w:after="0"/>
              <w:jc w:val="center"/>
              <w:rPr>
                <w:b/>
                <w:bCs/>
                <w:color w:val="FFFFFF" w:themeColor="background1"/>
              </w:rPr>
            </w:pPr>
            <w:r w:rsidRPr="005B409F">
              <w:rPr>
                <w:b/>
                <w:bCs/>
                <w:color w:val="FFFFFF" w:themeColor="background1"/>
              </w:rPr>
              <w:t>Question for suppliers</w:t>
            </w:r>
          </w:p>
        </w:tc>
        <w:tc>
          <w:tcPr>
            <w:tcW w:w="1332"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76D7F30A" w14:textId="77777777" w:rsidR="0002208D" w:rsidRPr="005B409F" w:rsidRDefault="0002208D" w:rsidP="005B409F">
            <w:pPr>
              <w:spacing w:after="0"/>
              <w:jc w:val="center"/>
              <w:rPr>
                <w:b/>
                <w:bCs/>
                <w:color w:val="FFFFFF" w:themeColor="background1"/>
              </w:rPr>
            </w:pPr>
            <w:r w:rsidRPr="005B409F">
              <w:rPr>
                <w:b/>
                <w:bCs/>
                <w:color w:val="FFFFFF" w:themeColor="background1"/>
              </w:rPr>
              <w:t>Key performance indicator</w:t>
            </w:r>
          </w:p>
        </w:tc>
      </w:tr>
      <w:tr w:rsidR="0002208D" w14:paraId="14462D43" w14:textId="77777777" w:rsidTr="005B409F">
        <w:tc>
          <w:tcPr>
            <w:tcW w:w="1075" w:type="pct"/>
            <w:tcBorders>
              <w:top w:val="single" w:sz="4" w:space="0" w:color="auto"/>
              <w:left w:val="single" w:sz="4" w:space="0" w:color="auto"/>
              <w:bottom w:val="single" w:sz="4" w:space="0" w:color="auto"/>
              <w:right w:val="single" w:sz="4" w:space="0" w:color="auto"/>
            </w:tcBorders>
            <w:hideMark/>
          </w:tcPr>
          <w:p w14:paraId="1DB93A1A" w14:textId="77777777" w:rsidR="0002208D" w:rsidRDefault="0002208D">
            <w:pPr>
              <w:spacing w:after="0"/>
            </w:pPr>
            <w:r>
              <w:t>Equitable use</w:t>
            </w:r>
          </w:p>
        </w:tc>
        <w:tc>
          <w:tcPr>
            <w:tcW w:w="1331" w:type="pct"/>
            <w:tcBorders>
              <w:top w:val="single" w:sz="4" w:space="0" w:color="auto"/>
              <w:left w:val="single" w:sz="4" w:space="0" w:color="auto"/>
              <w:bottom w:val="single" w:sz="4" w:space="0" w:color="auto"/>
              <w:right w:val="single" w:sz="4" w:space="0" w:color="auto"/>
            </w:tcBorders>
            <w:hideMark/>
          </w:tcPr>
          <w:p w14:paraId="65F6A719" w14:textId="77777777" w:rsidR="0002208D" w:rsidRDefault="0002208D">
            <w:pPr>
              <w:spacing w:after="0"/>
              <w:rPr>
                <w:b/>
                <w:bCs/>
              </w:rPr>
            </w:pPr>
            <w:r>
              <w:t>The extent to which the supplier demonstrates that diagnostic consumables are designed and supplied for equitable use by all users, including people with disability, without reliance on segregated or inferior alternatives.</w:t>
            </w:r>
          </w:p>
        </w:tc>
        <w:tc>
          <w:tcPr>
            <w:tcW w:w="1263" w:type="pct"/>
            <w:tcBorders>
              <w:top w:val="single" w:sz="4" w:space="0" w:color="auto"/>
              <w:left w:val="single" w:sz="4" w:space="0" w:color="auto"/>
              <w:bottom w:val="single" w:sz="4" w:space="0" w:color="auto"/>
              <w:right w:val="single" w:sz="4" w:space="0" w:color="auto"/>
            </w:tcBorders>
          </w:tcPr>
          <w:p w14:paraId="42755801" w14:textId="77777777" w:rsidR="0002208D" w:rsidRDefault="0002208D">
            <w:pPr>
              <w:spacing w:after="0"/>
            </w:pPr>
            <w:r>
              <w:t>Describe how your diagnostic consumables can be used by people with and without disability without the need for segregated or “special” versions.</w:t>
            </w:r>
          </w:p>
          <w:p w14:paraId="2ABDE3C0" w14:textId="77777777" w:rsidR="0002208D" w:rsidRDefault="0002208D">
            <w:pPr>
              <w:spacing w:after="0"/>
              <w:rPr>
                <w:b/>
                <w:bCs/>
              </w:rPr>
            </w:pPr>
          </w:p>
        </w:tc>
        <w:tc>
          <w:tcPr>
            <w:tcW w:w="1332" w:type="pct"/>
            <w:tcBorders>
              <w:top w:val="single" w:sz="4" w:space="0" w:color="auto"/>
              <w:left w:val="single" w:sz="4" w:space="0" w:color="auto"/>
              <w:bottom w:val="single" w:sz="4" w:space="0" w:color="auto"/>
              <w:right w:val="single" w:sz="4" w:space="0" w:color="auto"/>
            </w:tcBorders>
          </w:tcPr>
          <w:p w14:paraId="51D6F7DE" w14:textId="77777777" w:rsidR="0002208D" w:rsidRDefault="0002208D">
            <w:pPr>
              <w:spacing w:after="0"/>
            </w:pPr>
            <w:r>
              <w:t>Percent of consumables supplied as standard products usable by all users.</w:t>
            </w:r>
          </w:p>
          <w:p w14:paraId="3EEFE58D" w14:textId="77777777" w:rsidR="0002208D" w:rsidRDefault="0002208D">
            <w:pPr>
              <w:spacing w:after="0"/>
              <w:rPr>
                <w:b/>
                <w:bCs/>
              </w:rPr>
            </w:pPr>
          </w:p>
        </w:tc>
      </w:tr>
      <w:tr w:rsidR="0002208D" w14:paraId="7445897C" w14:textId="77777777" w:rsidTr="005B409F">
        <w:tc>
          <w:tcPr>
            <w:tcW w:w="1075" w:type="pct"/>
            <w:tcBorders>
              <w:top w:val="single" w:sz="4" w:space="0" w:color="auto"/>
              <w:left w:val="single" w:sz="4" w:space="0" w:color="auto"/>
              <w:bottom w:val="single" w:sz="4" w:space="0" w:color="auto"/>
              <w:right w:val="single" w:sz="4" w:space="0" w:color="auto"/>
            </w:tcBorders>
            <w:hideMark/>
          </w:tcPr>
          <w:p w14:paraId="6343316A" w14:textId="77777777" w:rsidR="0002208D" w:rsidRDefault="0002208D">
            <w:pPr>
              <w:spacing w:after="0"/>
            </w:pPr>
            <w:r>
              <w:t>Flexibility in use</w:t>
            </w:r>
          </w:p>
        </w:tc>
        <w:tc>
          <w:tcPr>
            <w:tcW w:w="1331" w:type="pct"/>
            <w:tcBorders>
              <w:top w:val="single" w:sz="4" w:space="0" w:color="auto"/>
              <w:left w:val="single" w:sz="4" w:space="0" w:color="auto"/>
              <w:bottom w:val="single" w:sz="4" w:space="0" w:color="auto"/>
              <w:right w:val="single" w:sz="4" w:space="0" w:color="auto"/>
            </w:tcBorders>
          </w:tcPr>
          <w:p w14:paraId="23CB93B0" w14:textId="77777777" w:rsidR="0002208D" w:rsidRDefault="0002208D">
            <w:pPr>
              <w:spacing w:after="0"/>
            </w:pPr>
            <w:r>
              <w:t>The degree to which the supplier demonstrates flexibility in the use of consumables to accommodate varied user abilities and preferences.</w:t>
            </w:r>
          </w:p>
          <w:p w14:paraId="53ED9B28" w14:textId="77777777" w:rsidR="0002208D" w:rsidRDefault="0002208D">
            <w:pPr>
              <w:spacing w:after="0"/>
            </w:pPr>
          </w:p>
        </w:tc>
        <w:tc>
          <w:tcPr>
            <w:tcW w:w="1263" w:type="pct"/>
            <w:tcBorders>
              <w:top w:val="single" w:sz="4" w:space="0" w:color="auto"/>
              <w:left w:val="single" w:sz="4" w:space="0" w:color="auto"/>
              <w:bottom w:val="single" w:sz="4" w:space="0" w:color="auto"/>
              <w:right w:val="single" w:sz="4" w:space="0" w:color="auto"/>
            </w:tcBorders>
            <w:hideMark/>
          </w:tcPr>
          <w:p w14:paraId="5D662DAA" w14:textId="77777777" w:rsidR="0002208D" w:rsidRDefault="0002208D">
            <w:pPr>
              <w:spacing w:after="0"/>
            </w:pPr>
            <w:r>
              <w:t>Explain how your consumables accommodate a range of user abilities (e.g. grip strength, vision, dexterity), including any available design options or variations.</w:t>
            </w:r>
          </w:p>
        </w:tc>
        <w:tc>
          <w:tcPr>
            <w:tcW w:w="1332" w:type="pct"/>
            <w:tcBorders>
              <w:top w:val="single" w:sz="4" w:space="0" w:color="auto"/>
              <w:left w:val="single" w:sz="4" w:space="0" w:color="auto"/>
              <w:bottom w:val="single" w:sz="4" w:space="0" w:color="auto"/>
              <w:right w:val="single" w:sz="4" w:space="0" w:color="auto"/>
            </w:tcBorders>
          </w:tcPr>
          <w:p w14:paraId="33F2AE52" w14:textId="77777777" w:rsidR="0002208D" w:rsidRDefault="0002208D">
            <w:pPr>
              <w:spacing w:after="0"/>
            </w:pPr>
            <w:r>
              <w:t>Availability of design features or options supporting diverse abilities.</w:t>
            </w:r>
          </w:p>
          <w:p w14:paraId="00165849" w14:textId="77777777" w:rsidR="0002208D" w:rsidRDefault="0002208D">
            <w:pPr>
              <w:spacing w:after="0"/>
            </w:pPr>
          </w:p>
        </w:tc>
      </w:tr>
      <w:tr w:rsidR="0002208D" w14:paraId="50CE0286" w14:textId="77777777" w:rsidTr="005B409F">
        <w:tc>
          <w:tcPr>
            <w:tcW w:w="1075" w:type="pct"/>
            <w:tcBorders>
              <w:top w:val="single" w:sz="4" w:space="0" w:color="auto"/>
              <w:left w:val="single" w:sz="4" w:space="0" w:color="auto"/>
              <w:bottom w:val="single" w:sz="4" w:space="0" w:color="auto"/>
              <w:right w:val="single" w:sz="4" w:space="0" w:color="auto"/>
            </w:tcBorders>
            <w:hideMark/>
          </w:tcPr>
          <w:p w14:paraId="2AB85741" w14:textId="77777777" w:rsidR="0002208D" w:rsidRDefault="0002208D">
            <w:pPr>
              <w:spacing w:after="0"/>
            </w:pPr>
            <w:r>
              <w:t>Perceptible information</w:t>
            </w:r>
          </w:p>
        </w:tc>
        <w:tc>
          <w:tcPr>
            <w:tcW w:w="1331" w:type="pct"/>
            <w:tcBorders>
              <w:top w:val="single" w:sz="4" w:space="0" w:color="auto"/>
              <w:left w:val="single" w:sz="4" w:space="0" w:color="auto"/>
              <w:bottom w:val="single" w:sz="4" w:space="0" w:color="auto"/>
              <w:right w:val="single" w:sz="4" w:space="0" w:color="auto"/>
            </w:tcBorders>
            <w:hideMark/>
          </w:tcPr>
          <w:p w14:paraId="7CF82DCE" w14:textId="77777777" w:rsidR="0002208D" w:rsidRDefault="0002208D">
            <w:pPr>
              <w:spacing w:after="0"/>
            </w:pPr>
            <w:r>
              <w:t>The effectiveness with which the supplier presents critical information in formats perceivable by users with diverse sensory abilities.</w:t>
            </w:r>
          </w:p>
        </w:tc>
        <w:tc>
          <w:tcPr>
            <w:tcW w:w="1263" w:type="pct"/>
            <w:tcBorders>
              <w:top w:val="single" w:sz="4" w:space="0" w:color="auto"/>
              <w:left w:val="single" w:sz="4" w:space="0" w:color="auto"/>
              <w:bottom w:val="single" w:sz="4" w:space="0" w:color="auto"/>
              <w:right w:val="single" w:sz="4" w:space="0" w:color="auto"/>
            </w:tcBorders>
            <w:hideMark/>
          </w:tcPr>
          <w:p w14:paraId="580225D4" w14:textId="77777777" w:rsidR="0002208D" w:rsidRDefault="0002208D">
            <w:pPr>
              <w:spacing w:after="0"/>
            </w:pPr>
            <w:r>
              <w:t>Describe how critical information (e.g. steps, warnings, expiry dates, batch information) is made perceivable for users with sensory impairments.</w:t>
            </w:r>
          </w:p>
        </w:tc>
        <w:tc>
          <w:tcPr>
            <w:tcW w:w="1332" w:type="pct"/>
            <w:tcBorders>
              <w:top w:val="single" w:sz="4" w:space="0" w:color="auto"/>
              <w:left w:val="single" w:sz="4" w:space="0" w:color="auto"/>
              <w:bottom w:val="single" w:sz="4" w:space="0" w:color="auto"/>
              <w:right w:val="single" w:sz="4" w:space="0" w:color="auto"/>
            </w:tcBorders>
          </w:tcPr>
          <w:p w14:paraId="657228BB" w14:textId="77777777" w:rsidR="0002208D" w:rsidRDefault="0002208D">
            <w:pPr>
              <w:spacing w:after="0"/>
            </w:pPr>
            <w:r>
              <w:t>Accessibility of labels and instructions</w:t>
            </w:r>
          </w:p>
          <w:p w14:paraId="67916B4B" w14:textId="77777777" w:rsidR="0002208D" w:rsidRDefault="0002208D">
            <w:pPr>
              <w:spacing w:after="0"/>
            </w:pPr>
          </w:p>
        </w:tc>
      </w:tr>
    </w:tbl>
    <w:p w14:paraId="604BABFF" w14:textId="77777777" w:rsidR="0002208D" w:rsidRDefault="0002208D" w:rsidP="005B409F">
      <w:pPr>
        <w:spacing w:before="120"/>
      </w:pPr>
      <w:r>
        <w:rPr>
          <w:b/>
          <w:bCs/>
        </w:rPr>
        <w:t>Draft contract conditions</w:t>
      </w:r>
    </w:p>
    <w:p w14:paraId="52123BB0" w14:textId="77777777" w:rsidR="0002208D" w:rsidRDefault="0002208D" w:rsidP="0002208D">
      <w:pPr>
        <w:numPr>
          <w:ilvl w:val="0"/>
          <w:numId w:val="43"/>
        </w:numPr>
        <w:spacing w:after="160" w:line="276" w:lineRule="auto"/>
      </w:pPr>
      <w:r>
        <w:t>Accessibility KPIs attached as a contract schedule</w:t>
      </w:r>
    </w:p>
    <w:p w14:paraId="380451D7" w14:textId="6BB85E5A" w:rsidR="0002208D" w:rsidRDefault="0002208D" w:rsidP="005B409F">
      <w:pPr>
        <w:numPr>
          <w:ilvl w:val="0"/>
          <w:numId w:val="43"/>
        </w:numPr>
        <w:spacing w:after="160" w:line="276" w:lineRule="auto"/>
      </w:pPr>
      <w:r>
        <w:t>Obligation to notify the agency if accessibility</w:t>
      </w:r>
      <w:r>
        <w:noBreakHyphen/>
        <w:t>related complaints or safety issues arise</w:t>
      </w:r>
    </w:p>
    <w:p w14:paraId="18C48A09" w14:textId="77777777" w:rsidR="0002208D" w:rsidRDefault="0002208D" w:rsidP="00C04010">
      <w:pPr>
        <w:pStyle w:val="Heading3"/>
      </w:pPr>
      <w:bookmarkStart w:id="148" w:name="_Toc228868653"/>
      <w:r>
        <w:t>Stage 3: Evaluate and award</w:t>
      </w:r>
      <w:bookmarkEnd w:id="148"/>
    </w:p>
    <w:p w14:paraId="46F04872" w14:textId="77777777" w:rsidR="0002208D" w:rsidRPr="005B409F" w:rsidRDefault="0002208D" w:rsidP="0002208D">
      <w:r w:rsidRPr="005B409F">
        <w:t>Assess compliance against mandatory criteria.</w:t>
      </w:r>
    </w:p>
    <w:p w14:paraId="0B181AB4" w14:textId="27FF3486" w:rsidR="0002208D" w:rsidRPr="005B409F" w:rsidRDefault="0002208D" w:rsidP="0002208D">
      <w:r w:rsidRPr="005B409F">
        <w:t>Evaluate responses against desirable evaluation criteria based on the following</w:t>
      </w:r>
      <w:r w:rsidR="00601CC6">
        <w:t xml:space="preserve"> example</w:t>
      </w:r>
      <w:r w:rsidRPr="005B409F">
        <w:t xml:space="preserve"> score rating:</w:t>
      </w:r>
    </w:p>
    <w:tbl>
      <w:tblPr>
        <w:tblStyle w:val="TableGrid"/>
        <w:tblW w:w="5000" w:type="pct"/>
        <w:tblLook w:val="04A0" w:firstRow="1" w:lastRow="0" w:firstColumn="1" w:lastColumn="0" w:noHBand="0" w:noVBand="1"/>
      </w:tblPr>
      <w:tblGrid>
        <w:gridCol w:w="2301"/>
        <w:gridCol w:w="8177"/>
      </w:tblGrid>
      <w:tr w:rsidR="0002208D" w14:paraId="2E19E133"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36C52456" w14:textId="77777777" w:rsidR="0002208D" w:rsidRDefault="0002208D">
            <w:pPr>
              <w:spacing w:after="0"/>
              <w:jc w:val="center"/>
              <w:rPr>
                <w:b/>
                <w:bCs/>
              </w:rPr>
            </w:pPr>
            <w:r w:rsidRPr="005B409F">
              <w:rPr>
                <w:b/>
                <w:bCs/>
                <w:color w:val="FFFFFF" w:themeColor="background1"/>
              </w:rPr>
              <w:t>Evaluation criteria</w:t>
            </w:r>
          </w:p>
        </w:tc>
        <w:tc>
          <w:tcPr>
            <w:tcW w:w="3902" w:type="pct"/>
            <w:tcBorders>
              <w:top w:val="single" w:sz="4" w:space="0" w:color="auto"/>
              <w:left w:val="single" w:sz="4" w:space="0" w:color="auto"/>
              <w:bottom w:val="single" w:sz="4" w:space="0" w:color="auto"/>
              <w:right w:val="single" w:sz="4" w:space="0" w:color="auto"/>
            </w:tcBorders>
            <w:hideMark/>
          </w:tcPr>
          <w:p w14:paraId="440FD2E1" w14:textId="77777777" w:rsidR="0002208D" w:rsidRDefault="0002208D">
            <w:pPr>
              <w:spacing w:after="0"/>
              <w:rPr>
                <w:b/>
                <w:bCs/>
              </w:rPr>
            </w:pPr>
            <w:r>
              <w:t>The extent to which the supplier demonstrates that diagnostic consumables are designed and supplied for equitable use by all users, including people with disability, without reliance on segregated or inferior alternatives.</w:t>
            </w:r>
          </w:p>
        </w:tc>
      </w:tr>
      <w:tr w:rsidR="0002208D" w14:paraId="41BA0548"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124BD" w14:textId="431A78AB" w:rsidR="0002208D" w:rsidRDefault="0002208D">
            <w:pPr>
              <w:spacing w:after="0"/>
              <w:jc w:val="center"/>
              <w:rPr>
                <w:b/>
                <w:bCs/>
              </w:rPr>
            </w:pPr>
            <w:r>
              <w:rPr>
                <w:b/>
                <w:bCs/>
              </w:rPr>
              <w:t xml:space="preserve">Low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254B3DE1" w14:textId="77777777" w:rsidR="0002208D" w:rsidRDefault="0002208D">
            <w:pPr>
              <w:spacing w:after="0"/>
            </w:pPr>
            <w:r>
              <w:rPr>
                <w:b/>
                <w:bCs/>
              </w:rPr>
              <w:t>Does not meet requirements</w:t>
            </w:r>
          </w:p>
          <w:p w14:paraId="5291A4B3" w14:textId="77777777" w:rsidR="0002208D" w:rsidRDefault="0002208D" w:rsidP="0002208D">
            <w:pPr>
              <w:numPr>
                <w:ilvl w:val="0"/>
                <w:numId w:val="44"/>
              </w:numPr>
              <w:spacing w:after="0"/>
            </w:pPr>
            <w:r>
              <w:t xml:space="preserve">Supplier proposes a </w:t>
            </w:r>
            <w:r>
              <w:rPr>
                <w:i/>
                <w:iCs/>
              </w:rPr>
              <w:t>standard kit</w:t>
            </w:r>
            <w:r>
              <w:t xml:space="preserve"> and a separate </w:t>
            </w:r>
            <w:r>
              <w:rPr>
                <w:i/>
                <w:iCs/>
              </w:rPr>
              <w:t>“accessible” kit</w:t>
            </w:r>
            <w:r>
              <w:t xml:space="preserve"> for users with disability.</w:t>
            </w:r>
          </w:p>
          <w:p w14:paraId="38683734" w14:textId="77777777" w:rsidR="0002208D" w:rsidRDefault="0002208D" w:rsidP="0002208D">
            <w:pPr>
              <w:numPr>
                <w:ilvl w:val="0"/>
                <w:numId w:val="44"/>
              </w:numPr>
              <w:spacing w:after="0"/>
            </w:pPr>
            <w:r>
              <w:t>The accessible version is only available on request and has longer lead times.</w:t>
            </w:r>
          </w:p>
          <w:p w14:paraId="111A8702" w14:textId="77777777" w:rsidR="0002208D" w:rsidRDefault="0002208D" w:rsidP="0002208D">
            <w:pPr>
              <w:numPr>
                <w:ilvl w:val="0"/>
                <w:numId w:val="44"/>
              </w:numPr>
              <w:spacing w:after="0"/>
            </w:pPr>
            <w:r>
              <w:lastRenderedPageBreak/>
              <w:t>No clear justification is provided for why inclusive design could not be embedded in the standard consumable.</w:t>
            </w:r>
          </w:p>
        </w:tc>
      </w:tr>
      <w:tr w:rsidR="0002208D" w14:paraId="06B51433"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985C8" w14:textId="5B29388E" w:rsidR="0002208D" w:rsidRDefault="0002208D">
            <w:pPr>
              <w:spacing w:after="0"/>
              <w:jc w:val="center"/>
              <w:rPr>
                <w:b/>
                <w:bCs/>
              </w:rPr>
            </w:pPr>
            <w:r>
              <w:rPr>
                <w:b/>
                <w:bCs/>
              </w:rPr>
              <w:lastRenderedPageBreak/>
              <w:t xml:space="preserve">Medium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233E0F57" w14:textId="77777777" w:rsidR="0002208D" w:rsidRDefault="0002208D">
            <w:pPr>
              <w:spacing w:after="0"/>
              <w:rPr>
                <w:b/>
                <w:bCs/>
              </w:rPr>
            </w:pPr>
            <w:r>
              <w:rPr>
                <w:b/>
                <w:bCs/>
              </w:rPr>
              <w:t>Meets requirements</w:t>
            </w:r>
          </w:p>
          <w:p w14:paraId="1EDF5399" w14:textId="77777777" w:rsidR="0002208D" w:rsidRDefault="0002208D" w:rsidP="0002208D">
            <w:pPr>
              <w:numPr>
                <w:ilvl w:val="0"/>
                <w:numId w:val="45"/>
              </w:numPr>
              <w:spacing w:after="0"/>
            </w:pPr>
            <w:r>
              <w:t>Supplier provides a single, standard consumable design intended for use by all users.</w:t>
            </w:r>
          </w:p>
          <w:p w14:paraId="7896E9FF" w14:textId="77777777" w:rsidR="0002208D" w:rsidRDefault="0002208D" w:rsidP="0002208D">
            <w:pPr>
              <w:numPr>
                <w:ilvl w:val="0"/>
                <w:numId w:val="45"/>
              </w:numPr>
              <w:spacing w:after="0"/>
            </w:pPr>
            <w:r>
              <w:t>Minor usability limitations are acknowledged, but no separate or inferior alternatives are proposed.</w:t>
            </w:r>
          </w:p>
          <w:p w14:paraId="509BDE89" w14:textId="77777777" w:rsidR="0002208D" w:rsidRDefault="0002208D" w:rsidP="0002208D">
            <w:pPr>
              <w:numPr>
                <w:ilvl w:val="0"/>
                <w:numId w:val="45"/>
              </w:numPr>
              <w:spacing w:after="0"/>
            </w:pPr>
            <w:r>
              <w:t>Evidence shows consideration of diverse users during product design.</w:t>
            </w:r>
          </w:p>
        </w:tc>
      </w:tr>
      <w:tr w:rsidR="0002208D" w14:paraId="76A5F0A1"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4A79D" w14:textId="27D78DF2" w:rsidR="0002208D" w:rsidRDefault="0002208D">
            <w:pPr>
              <w:spacing w:after="0"/>
              <w:jc w:val="center"/>
              <w:rPr>
                <w:b/>
                <w:bCs/>
              </w:rPr>
            </w:pPr>
            <w:r>
              <w:rPr>
                <w:b/>
                <w:bCs/>
              </w:rPr>
              <w:t xml:space="preserve">High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582F2FFD" w14:textId="77777777" w:rsidR="0002208D" w:rsidRDefault="0002208D">
            <w:pPr>
              <w:spacing w:after="0"/>
              <w:rPr>
                <w:b/>
                <w:bCs/>
              </w:rPr>
            </w:pPr>
            <w:r>
              <w:rPr>
                <w:b/>
                <w:bCs/>
              </w:rPr>
              <w:t>Exceeds requirements</w:t>
            </w:r>
          </w:p>
          <w:p w14:paraId="2550E3CA" w14:textId="77777777" w:rsidR="0002208D" w:rsidRDefault="0002208D" w:rsidP="0002208D">
            <w:pPr>
              <w:numPr>
                <w:ilvl w:val="0"/>
                <w:numId w:val="46"/>
              </w:numPr>
              <w:spacing w:after="0"/>
            </w:pPr>
            <w:r>
              <w:t>Supplier demonstrates inclusive design embedded by default, supported by usability testing with diverse users.</w:t>
            </w:r>
          </w:p>
          <w:p w14:paraId="2B3F7EEC" w14:textId="77777777" w:rsidR="0002208D" w:rsidRDefault="0002208D" w:rsidP="0002208D">
            <w:pPr>
              <w:numPr>
                <w:ilvl w:val="0"/>
                <w:numId w:val="46"/>
              </w:numPr>
              <w:spacing w:after="0"/>
            </w:pPr>
            <w:r>
              <w:t xml:space="preserve">Consumables are identical for all users, with optional </w:t>
            </w:r>
            <w:r>
              <w:rPr>
                <w:i/>
                <w:iCs/>
              </w:rPr>
              <w:t>non</w:t>
            </w:r>
            <w:r>
              <w:rPr>
                <w:i/>
                <w:iCs/>
              </w:rPr>
              <w:noBreakHyphen/>
              <w:t>segregated</w:t>
            </w:r>
            <w:r>
              <w:t xml:space="preserve"> support materials (e.g. alternative formats).</w:t>
            </w:r>
          </w:p>
          <w:p w14:paraId="3DF4E29A" w14:textId="77777777" w:rsidR="0002208D" w:rsidRDefault="0002208D" w:rsidP="0002208D">
            <w:pPr>
              <w:numPr>
                <w:ilvl w:val="0"/>
                <w:numId w:val="46"/>
              </w:numPr>
              <w:spacing w:after="0"/>
            </w:pPr>
            <w:r>
              <w:t>Equity considerations are documented and clearly linked to product development practices.</w:t>
            </w:r>
          </w:p>
        </w:tc>
      </w:tr>
    </w:tbl>
    <w:p w14:paraId="570D43A7" w14:textId="77777777" w:rsidR="0002208D" w:rsidRDefault="0002208D" w:rsidP="0002208D">
      <w:pPr>
        <w:rPr>
          <w:rFonts w:asciiTheme="minorHAnsi" w:hAnsiTheme="minorHAnsi"/>
          <w:b/>
          <w:bCs/>
          <w:kern w:val="2"/>
          <w:szCs w:val="20"/>
          <w14:ligatures w14:val="standardContextual"/>
        </w:rPr>
      </w:pPr>
    </w:p>
    <w:tbl>
      <w:tblPr>
        <w:tblStyle w:val="TableGrid"/>
        <w:tblW w:w="5000" w:type="pct"/>
        <w:tblLook w:val="04A0" w:firstRow="1" w:lastRow="0" w:firstColumn="1" w:lastColumn="0" w:noHBand="0" w:noVBand="1"/>
      </w:tblPr>
      <w:tblGrid>
        <w:gridCol w:w="2301"/>
        <w:gridCol w:w="8177"/>
      </w:tblGrid>
      <w:tr w:rsidR="0002208D" w14:paraId="6EC4FDAA"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32E93E8D" w14:textId="77777777" w:rsidR="0002208D" w:rsidRDefault="0002208D">
            <w:pPr>
              <w:spacing w:after="0"/>
              <w:jc w:val="center"/>
              <w:rPr>
                <w:b/>
                <w:bCs/>
              </w:rPr>
            </w:pPr>
            <w:r w:rsidRPr="005B409F">
              <w:rPr>
                <w:b/>
                <w:bCs/>
                <w:color w:val="FFFFFF" w:themeColor="background1"/>
              </w:rPr>
              <w:t>Evaluation criteria</w:t>
            </w:r>
          </w:p>
        </w:tc>
        <w:tc>
          <w:tcPr>
            <w:tcW w:w="3902" w:type="pct"/>
            <w:tcBorders>
              <w:top w:val="single" w:sz="4" w:space="0" w:color="auto"/>
              <w:left w:val="single" w:sz="4" w:space="0" w:color="auto"/>
              <w:bottom w:val="single" w:sz="4" w:space="0" w:color="auto"/>
              <w:right w:val="single" w:sz="4" w:space="0" w:color="auto"/>
            </w:tcBorders>
            <w:hideMark/>
          </w:tcPr>
          <w:p w14:paraId="39117BBE" w14:textId="77777777" w:rsidR="0002208D" w:rsidRDefault="0002208D">
            <w:pPr>
              <w:spacing w:after="0"/>
            </w:pPr>
            <w:r>
              <w:t>The degree to which the supplier demonstrates flexibility in the use of consumables to accommodate varied user abilities and preferences.</w:t>
            </w:r>
          </w:p>
        </w:tc>
      </w:tr>
      <w:tr w:rsidR="0002208D" w14:paraId="288CF840"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45434" w14:textId="24C41DEA" w:rsidR="0002208D" w:rsidRDefault="0002208D">
            <w:pPr>
              <w:spacing w:after="0"/>
              <w:jc w:val="center"/>
              <w:rPr>
                <w:b/>
                <w:bCs/>
              </w:rPr>
            </w:pPr>
            <w:r>
              <w:rPr>
                <w:b/>
                <w:bCs/>
              </w:rPr>
              <w:t xml:space="preserve">Low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565F02AA" w14:textId="77777777" w:rsidR="0002208D" w:rsidRDefault="0002208D">
            <w:pPr>
              <w:spacing w:after="0"/>
              <w:rPr>
                <w:b/>
                <w:bCs/>
              </w:rPr>
            </w:pPr>
            <w:r>
              <w:rPr>
                <w:b/>
                <w:bCs/>
              </w:rPr>
              <w:t>Does not meet requirements</w:t>
            </w:r>
          </w:p>
          <w:p w14:paraId="15F6214E" w14:textId="77777777" w:rsidR="0002208D" w:rsidRDefault="0002208D" w:rsidP="0002208D">
            <w:pPr>
              <w:numPr>
                <w:ilvl w:val="0"/>
                <w:numId w:val="47"/>
              </w:numPr>
              <w:spacing w:after="0"/>
            </w:pPr>
            <w:r>
              <w:t>Consumables require a single, precise method of handling.</w:t>
            </w:r>
          </w:p>
          <w:p w14:paraId="1E68763E" w14:textId="77777777" w:rsidR="0002208D" w:rsidRDefault="0002208D" w:rsidP="0002208D">
            <w:pPr>
              <w:numPr>
                <w:ilvl w:val="0"/>
                <w:numId w:val="47"/>
              </w:numPr>
              <w:spacing w:after="0"/>
            </w:pPr>
            <w:r>
              <w:t>No evidence is provided of design features supporting users with limited grip strength or dexterity.</w:t>
            </w:r>
          </w:p>
        </w:tc>
      </w:tr>
      <w:tr w:rsidR="0002208D" w14:paraId="21E37E7A"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C6CEB" w14:textId="5026DA5F" w:rsidR="0002208D" w:rsidRDefault="0002208D">
            <w:pPr>
              <w:spacing w:after="0"/>
              <w:jc w:val="center"/>
              <w:rPr>
                <w:b/>
                <w:bCs/>
              </w:rPr>
            </w:pPr>
            <w:r>
              <w:rPr>
                <w:b/>
                <w:bCs/>
              </w:rPr>
              <w:t xml:space="preserve">Medium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348B39A8" w14:textId="77777777" w:rsidR="0002208D" w:rsidRDefault="0002208D">
            <w:pPr>
              <w:spacing w:after="0"/>
            </w:pPr>
            <w:r>
              <w:rPr>
                <w:b/>
                <w:bCs/>
              </w:rPr>
              <w:t>Meets requirements</w:t>
            </w:r>
          </w:p>
          <w:p w14:paraId="5C2FA40B" w14:textId="77777777" w:rsidR="0002208D" w:rsidRDefault="0002208D" w:rsidP="0002208D">
            <w:pPr>
              <w:numPr>
                <w:ilvl w:val="0"/>
                <w:numId w:val="48"/>
              </w:numPr>
              <w:spacing w:after="0"/>
            </w:pPr>
            <w:r>
              <w:t>Supplier demonstrates basic flexibility through design features such as clear orientation cues and stable handling surfaces.</w:t>
            </w:r>
          </w:p>
          <w:p w14:paraId="2AB514D0" w14:textId="77777777" w:rsidR="0002208D" w:rsidRDefault="0002208D" w:rsidP="0002208D">
            <w:pPr>
              <w:numPr>
                <w:ilvl w:val="0"/>
                <w:numId w:val="48"/>
              </w:numPr>
              <w:spacing w:after="0"/>
            </w:pPr>
            <w:r>
              <w:t>Guidance included for alternative handling approaches where appropriate.</w:t>
            </w:r>
          </w:p>
          <w:p w14:paraId="7FEC28BB" w14:textId="77777777" w:rsidR="0002208D" w:rsidRDefault="0002208D" w:rsidP="0002208D">
            <w:pPr>
              <w:numPr>
                <w:ilvl w:val="0"/>
                <w:numId w:val="48"/>
              </w:numPr>
              <w:spacing w:after="0"/>
            </w:pPr>
            <w:r>
              <w:t>No additional complexity is introduced.</w:t>
            </w:r>
          </w:p>
        </w:tc>
      </w:tr>
      <w:tr w:rsidR="0002208D" w14:paraId="2F92FF32"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7E191" w14:textId="6AA0A62E" w:rsidR="0002208D" w:rsidRDefault="0002208D">
            <w:pPr>
              <w:spacing w:after="0"/>
              <w:jc w:val="center"/>
              <w:rPr>
                <w:b/>
                <w:bCs/>
              </w:rPr>
            </w:pPr>
            <w:r>
              <w:rPr>
                <w:b/>
                <w:bCs/>
              </w:rPr>
              <w:t xml:space="preserve">High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251549F3" w14:textId="77777777" w:rsidR="0002208D" w:rsidRDefault="0002208D">
            <w:pPr>
              <w:spacing w:after="0"/>
            </w:pPr>
            <w:r>
              <w:rPr>
                <w:b/>
                <w:bCs/>
              </w:rPr>
              <w:t>Exceeds requirements</w:t>
            </w:r>
          </w:p>
          <w:p w14:paraId="3CC2B3B0" w14:textId="77777777" w:rsidR="0002208D" w:rsidRDefault="0002208D" w:rsidP="0002208D">
            <w:pPr>
              <w:numPr>
                <w:ilvl w:val="0"/>
                <w:numId w:val="49"/>
              </w:numPr>
              <w:spacing w:after="0"/>
            </w:pPr>
            <w:r>
              <w:t>Supplier provides evidence of multiple design features supporting varied abilities (e.g. textured grips, stabilising elements).</w:t>
            </w:r>
          </w:p>
          <w:p w14:paraId="14743A8F" w14:textId="77777777" w:rsidR="0002208D" w:rsidRDefault="0002208D" w:rsidP="0002208D">
            <w:pPr>
              <w:numPr>
                <w:ilvl w:val="0"/>
                <w:numId w:val="49"/>
              </w:numPr>
              <w:spacing w:after="0"/>
            </w:pPr>
            <w:r>
              <w:t>Optional accessories or formats are available without changing the core consumable.</w:t>
            </w:r>
          </w:p>
          <w:p w14:paraId="49F74EB3" w14:textId="77777777" w:rsidR="0002208D" w:rsidRDefault="0002208D" w:rsidP="0002208D">
            <w:pPr>
              <w:numPr>
                <w:ilvl w:val="0"/>
                <w:numId w:val="49"/>
              </w:numPr>
              <w:spacing w:after="0"/>
            </w:pPr>
            <w:r>
              <w:t>Flexibility is achieved without increasing user complexity or clinical risk.</w:t>
            </w:r>
          </w:p>
        </w:tc>
      </w:tr>
    </w:tbl>
    <w:p w14:paraId="3554F6A9" w14:textId="77777777" w:rsidR="0002208D" w:rsidRDefault="0002208D" w:rsidP="0002208D">
      <w:pPr>
        <w:rPr>
          <w:rFonts w:asciiTheme="minorHAnsi" w:hAnsiTheme="minorHAnsi"/>
          <w:b/>
          <w:bCs/>
          <w:kern w:val="2"/>
          <w:szCs w:val="20"/>
          <w14:ligatures w14:val="standardContextual"/>
        </w:rPr>
      </w:pPr>
    </w:p>
    <w:tbl>
      <w:tblPr>
        <w:tblStyle w:val="TableGrid"/>
        <w:tblW w:w="5000" w:type="pct"/>
        <w:tblLook w:val="04A0" w:firstRow="1" w:lastRow="0" w:firstColumn="1" w:lastColumn="0" w:noHBand="0" w:noVBand="1"/>
      </w:tblPr>
      <w:tblGrid>
        <w:gridCol w:w="2301"/>
        <w:gridCol w:w="8177"/>
      </w:tblGrid>
      <w:tr w:rsidR="0002208D" w14:paraId="7377BEDB"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005EB8" w:themeFill="text1"/>
            <w:vAlign w:val="center"/>
            <w:hideMark/>
          </w:tcPr>
          <w:p w14:paraId="17876E8A" w14:textId="77777777" w:rsidR="0002208D" w:rsidRDefault="0002208D">
            <w:pPr>
              <w:spacing w:after="0"/>
              <w:jc w:val="center"/>
              <w:rPr>
                <w:b/>
                <w:bCs/>
              </w:rPr>
            </w:pPr>
            <w:r w:rsidRPr="005B409F">
              <w:rPr>
                <w:b/>
                <w:bCs/>
                <w:color w:val="FFFFFF" w:themeColor="background1"/>
              </w:rPr>
              <w:t>Evaluation criteria</w:t>
            </w:r>
          </w:p>
        </w:tc>
        <w:tc>
          <w:tcPr>
            <w:tcW w:w="3902" w:type="pct"/>
            <w:tcBorders>
              <w:top w:val="single" w:sz="4" w:space="0" w:color="auto"/>
              <w:left w:val="single" w:sz="4" w:space="0" w:color="auto"/>
              <w:bottom w:val="single" w:sz="4" w:space="0" w:color="auto"/>
              <w:right w:val="single" w:sz="4" w:space="0" w:color="auto"/>
            </w:tcBorders>
            <w:hideMark/>
          </w:tcPr>
          <w:p w14:paraId="41A86000" w14:textId="77777777" w:rsidR="0002208D" w:rsidRDefault="0002208D">
            <w:pPr>
              <w:spacing w:after="0"/>
            </w:pPr>
            <w:r>
              <w:t>The effectiveness with which the supplier presents critical information in formats perceivable by users with diverse sensory abilities.</w:t>
            </w:r>
          </w:p>
        </w:tc>
      </w:tr>
      <w:tr w:rsidR="0002208D" w14:paraId="5744FFF5"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1D61D" w14:textId="6B99DD2E" w:rsidR="0002208D" w:rsidRDefault="0002208D">
            <w:pPr>
              <w:spacing w:after="0"/>
              <w:jc w:val="center"/>
              <w:rPr>
                <w:b/>
                <w:bCs/>
              </w:rPr>
            </w:pPr>
            <w:r>
              <w:rPr>
                <w:b/>
                <w:bCs/>
              </w:rPr>
              <w:t xml:space="preserve">Low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19DFE86F" w14:textId="77777777" w:rsidR="0002208D" w:rsidRDefault="0002208D">
            <w:pPr>
              <w:spacing w:after="0"/>
            </w:pPr>
            <w:r>
              <w:rPr>
                <w:b/>
                <w:bCs/>
              </w:rPr>
              <w:t>Does not meet requirements</w:t>
            </w:r>
          </w:p>
          <w:p w14:paraId="3DE4B241" w14:textId="77777777" w:rsidR="0002208D" w:rsidRDefault="0002208D" w:rsidP="0002208D">
            <w:pPr>
              <w:numPr>
                <w:ilvl w:val="0"/>
                <w:numId w:val="50"/>
              </w:numPr>
              <w:spacing w:after="0"/>
            </w:pPr>
            <w:r>
              <w:t>Labels use very small font sizes with low contrast.</w:t>
            </w:r>
          </w:p>
          <w:p w14:paraId="09974FD8" w14:textId="77777777" w:rsidR="0002208D" w:rsidRDefault="0002208D" w:rsidP="0002208D">
            <w:pPr>
              <w:numPr>
                <w:ilvl w:val="0"/>
                <w:numId w:val="50"/>
              </w:numPr>
              <w:spacing w:after="0"/>
            </w:pPr>
            <w:r>
              <w:t>Critical information (expiry date, warnings) is difficult to locate.</w:t>
            </w:r>
          </w:p>
          <w:p w14:paraId="0CDEB7FC" w14:textId="77777777" w:rsidR="0002208D" w:rsidRDefault="0002208D" w:rsidP="0002208D">
            <w:pPr>
              <w:numPr>
                <w:ilvl w:val="0"/>
                <w:numId w:val="50"/>
              </w:numPr>
              <w:spacing w:after="0"/>
            </w:pPr>
            <w:r>
              <w:t>No alternative formats for instructions are offered.</w:t>
            </w:r>
          </w:p>
        </w:tc>
      </w:tr>
      <w:tr w:rsidR="0002208D" w14:paraId="28652790"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C49CD" w14:textId="1D110AA6" w:rsidR="0002208D" w:rsidRDefault="0002208D">
            <w:pPr>
              <w:spacing w:after="0"/>
              <w:jc w:val="center"/>
              <w:rPr>
                <w:b/>
                <w:bCs/>
              </w:rPr>
            </w:pPr>
            <w:r>
              <w:rPr>
                <w:b/>
                <w:bCs/>
              </w:rPr>
              <w:t xml:space="preserve">Medium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1147F140" w14:textId="77777777" w:rsidR="0002208D" w:rsidRDefault="0002208D">
            <w:pPr>
              <w:spacing w:after="0"/>
            </w:pPr>
            <w:r>
              <w:rPr>
                <w:b/>
                <w:bCs/>
              </w:rPr>
              <w:t>Meets requirements</w:t>
            </w:r>
          </w:p>
          <w:p w14:paraId="0FFEEB6F" w14:textId="77777777" w:rsidR="0002208D" w:rsidRDefault="0002208D" w:rsidP="0002208D">
            <w:pPr>
              <w:numPr>
                <w:ilvl w:val="0"/>
                <w:numId w:val="51"/>
              </w:numPr>
              <w:spacing w:after="0"/>
            </w:pPr>
            <w:r>
              <w:t>Labels use readable font sizes and adequate contrast.</w:t>
            </w:r>
          </w:p>
          <w:p w14:paraId="419ACA3B" w14:textId="77777777" w:rsidR="0002208D" w:rsidRDefault="0002208D" w:rsidP="0002208D">
            <w:pPr>
              <w:numPr>
                <w:ilvl w:val="0"/>
                <w:numId w:val="51"/>
              </w:numPr>
              <w:spacing w:after="0"/>
            </w:pPr>
            <w:r>
              <w:t>Critical information is clearly grouped and consistently located.</w:t>
            </w:r>
          </w:p>
          <w:p w14:paraId="6A4D0928" w14:textId="77777777" w:rsidR="0002208D" w:rsidRDefault="0002208D" w:rsidP="0002208D">
            <w:pPr>
              <w:numPr>
                <w:ilvl w:val="0"/>
                <w:numId w:val="51"/>
              </w:numPr>
              <w:spacing w:after="0"/>
            </w:pPr>
            <w:r>
              <w:t>Instructions are available in standard digital format upon request.</w:t>
            </w:r>
          </w:p>
        </w:tc>
      </w:tr>
      <w:tr w:rsidR="0002208D" w14:paraId="1EF12B88" w14:textId="77777777" w:rsidTr="005B409F">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B8598" w14:textId="0180609A" w:rsidR="0002208D" w:rsidRDefault="0002208D">
            <w:pPr>
              <w:spacing w:after="0"/>
              <w:jc w:val="center"/>
              <w:rPr>
                <w:b/>
                <w:bCs/>
              </w:rPr>
            </w:pPr>
            <w:r>
              <w:rPr>
                <w:b/>
                <w:bCs/>
              </w:rPr>
              <w:t xml:space="preserve">High </w:t>
            </w:r>
            <w:r w:rsidR="00841670">
              <w:rPr>
                <w:b/>
                <w:bCs/>
              </w:rPr>
              <w:t>score</w:t>
            </w:r>
          </w:p>
        </w:tc>
        <w:tc>
          <w:tcPr>
            <w:tcW w:w="3902" w:type="pct"/>
            <w:tcBorders>
              <w:top w:val="single" w:sz="4" w:space="0" w:color="auto"/>
              <w:left w:val="single" w:sz="4" w:space="0" w:color="auto"/>
              <w:bottom w:val="single" w:sz="4" w:space="0" w:color="auto"/>
              <w:right w:val="single" w:sz="4" w:space="0" w:color="auto"/>
            </w:tcBorders>
            <w:hideMark/>
          </w:tcPr>
          <w:p w14:paraId="0E310099" w14:textId="77777777" w:rsidR="0002208D" w:rsidRDefault="0002208D">
            <w:pPr>
              <w:spacing w:after="0"/>
            </w:pPr>
            <w:r>
              <w:rPr>
                <w:b/>
                <w:bCs/>
              </w:rPr>
              <w:t>Exceeds requirements</w:t>
            </w:r>
          </w:p>
          <w:p w14:paraId="08F0A209" w14:textId="77777777" w:rsidR="0002208D" w:rsidRDefault="0002208D" w:rsidP="0002208D">
            <w:pPr>
              <w:numPr>
                <w:ilvl w:val="0"/>
                <w:numId w:val="52"/>
              </w:numPr>
              <w:spacing w:after="0"/>
            </w:pPr>
            <w:r>
              <w:t>Supplier provides high</w:t>
            </w:r>
            <w:r>
              <w:noBreakHyphen/>
              <w:t>contrast labelling with clear hierarchy of information.</w:t>
            </w:r>
          </w:p>
          <w:p w14:paraId="1284EC71" w14:textId="77777777" w:rsidR="0002208D" w:rsidRDefault="0002208D" w:rsidP="0002208D">
            <w:pPr>
              <w:numPr>
                <w:ilvl w:val="0"/>
                <w:numId w:val="52"/>
              </w:numPr>
              <w:spacing w:after="0"/>
            </w:pPr>
            <w:r>
              <w:t>Instructions are available in multiple accessible formats (e.g. large print, accessible digital).</w:t>
            </w:r>
          </w:p>
          <w:p w14:paraId="106F753C" w14:textId="77777777" w:rsidR="0002208D" w:rsidRDefault="0002208D" w:rsidP="0002208D">
            <w:pPr>
              <w:numPr>
                <w:ilvl w:val="0"/>
                <w:numId w:val="52"/>
              </w:numPr>
              <w:spacing w:after="0"/>
            </w:pPr>
            <w:r>
              <w:t>Visual information is reinforced with clear diagrams and symbols.</w:t>
            </w:r>
          </w:p>
        </w:tc>
      </w:tr>
    </w:tbl>
    <w:p w14:paraId="4ECB79AD" w14:textId="77777777" w:rsidR="0002208D" w:rsidRPr="005B409F" w:rsidRDefault="0002208D" w:rsidP="005B409F">
      <w:pPr>
        <w:spacing w:before="120"/>
      </w:pPr>
      <w:r w:rsidRPr="005B409F">
        <w:t>Build agreed key performance indicators and supplier commitments regarding accessibility into the head agreement.</w:t>
      </w:r>
    </w:p>
    <w:p w14:paraId="6F07B4B7" w14:textId="77777777" w:rsidR="0002208D" w:rsidRDefault="0002208D" w:rsidP="001666F6">
      <w:pPr>
        <w:pStyle w:val="Heading3"/>
      </w:pPr>
      <w:bookmarkStart w:id="149" w:name="_Toc228868654"/>
      <w:r>
        <w:t>Stage 4: Manage contract</w:t>
      </w:r>
      <w:bookmarkEnd w:id="149"/>
    </w:p>
    <w:p w14:paraId="15ACCCA4" w14:textId="77777777" w:rsidR="0002208D" w:rsidRDefault="0002208D" w:rsidP="0002208D">
      <w:r>
        <w:t>Suppliers provide:</w:t>
      </w:r>
    </w:p>
    <w:p w14:paraId="2133624F" w14:textId="77777777" w:rsidR="0002208D" w:rsidRDefault="0002208D" w:rsidP="0002208D">
      <w:pPr>
        <w:numPr>
          <w:ilvl w:val="0"/>
          <w:numId w:val="53"/>
        </w:numPr>
        <w:spacing w:after="160" w:line="276" w:lineRule="auto"/>
      </w:pPr>
      <w:r>
        <w:t>periodic confirmation that consumables, labels and instructions remain unchanged or accessible</w:t>
      </w:r>
    </w:p>
    <w:p w14:paraId="4B4F230D" w14:textId="77777777" w:rsidR="0002208D" w:rsidRDefault="0002208D" w:rsidP="0002208D">
      <w:pPr>
        <w:numPr>
          <w:ilvl w:val="0"/>
          <w:numId w:val="53"/>
        </w:numPr>
        <w:spacing w:after="160" w:line="276" w:lineRule="auto"/>
      </w:pPr>
      <w:r>
        <w:t>notification of design, packaging or supplier changes</w:t>
      </w:r>
    </w:p>
    <w:p w14:paraId="360085F6" w14:textId="77777777" w:rsidR="0002208D" w:rsidRDefault="0002208D" w:rsidP="0002208D">
      <w:pPr>
        <w:numPr>
          <w:ilvl w:val="0"/>
          <w:numId w:val="53"/>
        </w:numPr>
        <w:spacing w:after="160" w:line="276" w:lineRule="auto"/>
      </w:pPr>
      <w:r>
        <w:t>reporting of accessibility</w:t>
      </w:r>
      <w:r>
        <w:noBreakHyphen/>
        <w:t>related incidents or complaints.</w:t>
      </w:r>
    </w:p>
    <w:p w14:paraId="7CB06FA9" w14:textId="577BDB8D" w:rsidR="00CD66EB" w:rsidRDefault="0002208D" w:rsidP="0002208D">
      <w:r>
        <w:lastRenderedPageBreak/>
        <w:t>Arrangement manager conducts periodic spot checks</w:t>
      </w:r>
      <w:r w:rsidR="00B47AB8">
        <w:t xml:space="preserve"> and/or meetings</w:t>
      </w:r>
      <w:r w:rsidR="001F0BC8">
        <w:t xml:space="preserve"> to ensure</w:t>
      </w:r>
      <w:r>
        <w:t xml:space="preserve"> supplier compliance against accessibility clauses of head agreement.</w:t>
      </w:r>
      <w:r w:rsidR="00202872">
        <w:t xml:space="preserve"> </w:t>
      </w:r>
      <w:r w:rsidR="001F0BC8">
        <w:t>In addition, feedback is collected from</w:t>
      </w:r>
      <w:r w:rsidR="009E28CB">
        <w:t xml:space="preserve"> agencies that use this arrangement on </w:t>
      </w:r>
      <w:r w:rsidR="003C60A7">
        <w:t>whether it is meeting their and end-users’ needs</w:t>
      </w:r>
      <w:r w:rsidR="00003475">
        <w:t xml:space="preserve">, and whether any issues have been raised, to inform </w:t>
      </w:r>
      <w:r w:rsidR="00302021">
        <w:t>a future review of the arrangement.</w:t>
      </w:r>
    </w:p>
    <w:p w14:paraId="79C99311" w14:textId="77777777" w:rsidR="0002208D" w:rsidRPr="005B409F" w:rsidRDefault="0002208D" w:rsidP="005B409F">
      <w:pPr>
        <w:pStyle w:val="Heading2"/>
      </w:pPr>
      <w:bookmarkStart w:id="150" w:name="_Toc228868655"/>
      <w:r>
        <w:t>Example 2 – Routine procurement: Purchasing office stationery</w:t>
      </w:r>
      <w:bookmarkEnd w:id="150"/>
    </w:p>
    <w:p w14:paraId="451BDE53" w14:textId="77777777" w:rsidR="0002208D" w:rsidRDefault="0002208D" w:rsidP="005B409F">
      <w:pPr>
        <w:pStyle w:val="Heading3"/>
      </w:pPr>
      <w:bookmarkStart w:id="151" w:name="_Toc228868656"/>
      <w:r>
        <w:t>Scenario</w:t>
      </w:r>
      <w:bookmarkEnd w:id="151"/>
    </w:p>
    <w:p w14:paraId="592CE666" w14:textId="77777777" w:rsidR="0002208D" w:rsidRDefault="0002208D" w:rsidP="0002208D">
      <w:r>
        <w:t xml:space="preserve">A Queensland Government agency requires a bulk order of office stationery valued under the agency’s low-value procurement threshold. The items include pens, markers, notebooks, </w:t>
      </w:r>
      <w:proofErr w:type="spellStart"/>
      <w:r>
        <w:t>post-it</w:t>
      </w:r>
      <w:proofErr w:type="spellEnd"/>
      <w:r>
        <w:t xml:space="preserve"> notes, paper and folders.</w:t>
      </w:r>
    </w:p>
    <w:p w14:paraId="2A8FC580" w14:textId="77777777" w:rsidR="0002208D" w:rsidRDefault="0002208D" w:rsidP="001666F6">
      <w:pPr>
        <w:pStyle w:val="Heading3"/>
      </w:pPr>
      <w:bookmarkStart w:id="152" w:name="_Toc228868657"/>
      <w:r>
        <w:t>Stage 1: Plan</w:t>
      </w:r>
      <w:bookmarkEnd w:id="152"/>
    </w:p>
    <w:p w14:paraId="68988F4C" w14:textId="77777777" w:rsidR="0002208D" w:rsidRDefault="0002208D" w:rsidP="0002208D">
      <w:r>
        <w:t>As the items are standard, off-the-shelf consumables, accessibility risk is low. However, consistent with good procurement practice and the QPP 2026, accessibility considerations are briefly considered and addressed.</w:t>
      </w:r>
    </w:p>
    <w:p w14:paraId="3FBE419B" w14:textId="77777777" w:rsidR="0002208D" w:rsidRDefault="0002208D" w:rsidP="0002208D">
      <w:r>
        <w:t xml:space="preserve">For example, the following lists considerations linked to the accessibility principles which may inform the specifications: </w:t>
      </w:r>
    </w:p>
    <w:p w14:paraId="00E7BFD6" w14:textId="77777777" w:rsidR="0002208D" w:rsidRDefault="0002208D" w:rsidP="0002208D">
      <w:pPr>
        <w:pStyle w:val="ListParagraph"/>
        <w:numPr>
          <w:ilvl w:val="0"/>
          <w:numId w:val="54"/>
        </w:numPr>
        <w:tabs>
          <w:tab w:val="clear" w:pos="2835"/>
        </w:tabs>
        <w:spacing w:after="160" w:line="276" w:lineRule="auto"/>
        <w:contextualSpacing/>
      </w:pPr>
      <w:r>
        <w:t xml:space="preserve">Equitable use – Consumables can be used by staff with and without disability. </w:t>
      </w:r>
    </w:p>
    <w:p w14:paraId="55B73721" w14:textId="77777777" w:rsidR="0002208D" w:rsidRDefault="0002208D" w:rsidP="0002208D">
      <w:pPr>
        <w:pStyle w:val="ListParagraph"/>
        <w:numPr>
          <w:ilvl w:val="0"/>
          <w:numId w:val="54"/>
        </w:numPr>
        <w:tabs>
          <w:tab w:val="clear" w:pos="2835"/>
        </w:tabs>
        <w:spacing w:after="160" w:line="276" w:lineRule="auto"/>
        <w:contextualSpacing/>
      </w:pPr>
      <w:r>
        <w:t xml:space="preserve">Flexibility in use – Items support a range of preferences or working styles where practical. </w:t>
      </w:r>
    </w:p>
    <w:p w14:paraId="70CAC447" w14:textId="77777777" w:rsidR="0002208D" w:rsidRDefault="0002208D" w:rsidP="0002208D">
      <w:pPr>
        <w:pStyle w:val="ListParagraph"/>
        <w:numPr>
          <w:ilvl w:val="0"/>
          <w:numId w:val="54"/>
        </w:numPr>
        <w:tabs>
          <w:tab w:val="clear" w:pos="2835"/>
        </w:tabs>
        <w:spacing w:after="160" w:line="276" w:lineRule="auto"/>
        <w:contextualSpacing/>
      </w:pPr>
      <w:r>
        <w:t xml:space="preserve">Simple and intuitive use – Items are familiar and easy to use without instruction. </w:t>
      </w:r>
    </w:p>
    <w:p w14:paraId="2DD8D48D" w14:textId="77777777" w:rsidR="0002208D" w:rsidRDefault="0002208D" w:rsidP="0002208D">
      <w:pPr>
        <w:pStyle w:val="ListParagraph"/>
        <w:numPr>
          <w:ilvl w:val="0"/>
          <w:numId w:val="54"/>
        </w:numPr>
        <w:tabs>
          <w:tab w:val="clear" w:pos="2835"/>
        </w:tabs>
        <w:spacing w:after="160" w:line="276" w:lineRule="auto"/>
        <w:contextualSpacing/>
      </w:pPr>
      <w:r>
        <w:t xml:space="preserve">Perceptible information – Labelling is legible and information can be understood. </w:t>
      </w:r>
    </w:p>
    <w:p w14:paraId="725EE954" w14:textId="77777777" w:rsidR="0002208D" w:rsidRDefault="0002208D" w:rsidP="0002208D">
      <w:pPr>
        <w:pStyle w:val="ListParagraph"/>
        <w:numPr>
          <w:ilvl w:val="0"/>
          <w:numId w:val="54"/>
        </w:numPr>
        <w:tabs>
          <w:tab w:val="clear" w:pos="2835"/>
        </w:tabs>
        <w:spacing w:after="160" w:line="276" w:lineRule="auto"/>
        <w:contextualSpacing/>
      </w:pPr>
      <w:r>
        <w:t>Tolerance for error – Incorrect use does not cause harm.</w:t>
      </w:r>
    </w:p>
    <w:p w14:paraId="3E2A3FFD" w14:textId="77777777" w:rsidR="0002208D" w:rsidRDefault="0002208D" w:rsidP="0002208D">
      <w:pPr>
        <w:pStyle w:val="ListParagraph"/>
        <w:numPr>
          <w:ilvl w:val="0"/>
          <w:numId w:val="54"/>
        </w:numPr>
        <w:tabs>
          <w:tab w:val="clear" w:pos="2835"/>
        </w:tabs>
        <w:spacing w:after="160" w:line="276" w:lineRule="auto"/>
        <w:contextualSpacing/>
      </w:pPr>
      <w:r>
        <w:t xml:space="preserve">Low physical effort – Items do not require excessive force or fine motor control. </w:t>
      </w:r>
    </w:p>
    <w:p w14:paraId="75E5AC24" w14:textId="77777777" w:rsidR="0002208D" w:rsidRDefault="0002208D" w:rsidP="0002208D">
      <w:pPr>
        <w:pStyle w:val="ListParagraph"/>
        <w:numPr>
          <w:ilvl w:val="0"/>
          <w:numId w:val="54"/>
        </w:numPr>
        <w:tabs>
          <w:tab w:val="clear" w:pos="2835"/>
        </w:tabs>
        <w:spacing w:after="160" w:line="276" w:lineRule="auto"/>
        <w:contextualSpacing/>
      </w:pPr>
      <w:r>
        <w:t>Appropriate size and space for use – Items can be handled and stored easily by diverse users.</w:t>
      </w:r>
    </w:p>
    <w:p w14:paraId="0709DC1D" w14:textId="77777777" w:rsidR="0002208D" w:rsidRDefault="0002208D" w:rsidP="0002208D">
      <w:r>
        <w:t>The purchasing strategy is to procure from an established common-use supply arrangement for stationery.</w:t>
      </w:r>
    </w:p>
    <w:p w14:paraId="204E01E7" w14:textId="77777777" w:rsidR="0002208D" w:rsidRDefault="0002208D" w:rsidP="001666F6">
      <w:pPr>
        <w:pStyle w:val="Heading3"/>
      </w:pPr>
      <w:bookmarkStart w:id="153" w:name="_Toc228868658"/>
      <w:r>
        <w:t>Stage 2: Go to market</w:t>
      </w:r>
      <w:bookmarkEnd w:id="153"/>
    </w:p>
    <w:p w14:paraId="6BABCBB0" w14:textId="77777777" w:rsidR="0002208D" w:rsidRDefault="0002208D" w:rsidP="0002208D">
      <w:r>
        <w:t>Invite two suppliers from the common-use supply arrangement to quote, emphasising key accessibility considerations.</w:t>
      </w:r>
    </w:p>
    <w:p w14:paraId="38B217CC" w14:textId="77777777" w:rsidR="0002208D" w:rsidRDefault="0002208D" w:rsidP="0002208D">
      <w:r>
        <w:t>This could include, for example, focusing on:</w:t>
      </w:r>
    </w:p>
    <w:p w14:paraId="2347C680" w14:textId="77777777" w:rsidR="0002208D" w:rsidRDefault="0002208D" w:rsidP="0002208D">
      <w:pPr>
        <w:pStyle w:val="ListParagraph"/>
        <w:numPr>
          <w:ilvl w:val="0"/>
          <w:numId w:val="55"/>
        </w:numPr>
        <w:tabs>
          <w:tab w:val="clear" w:pos="2835"/>
        </w:tabs>
        <w:spacing w:after="160" w:line="276" w:lineRule="auto"/>
        <w:contextualSpacing/>
      </w:pPr>
      <w:r>
        <w:t>Equitable use – Can most staff reasonably use these items?</w:t>
      </w:r>
    </w:p>
    <w:p w14:paraId="1396EABA" w14:textId="77777777" w:rsidR="0002208D" w:rsidRDefault="0002208D" w:rsidP="0002208D">
      <w:pPr>
        <w:pStyle w:val="ListParagraph"/>
        <w:numPr>
          <w:ilvl w:val="0"/>
          <w:numId w:val="55"/>
        </w:numPr>
        <w:tabs>
          <w:tab w:val="clear" w:pos="2835"/>
        </w:tabs>
        <w:spacing w:after="160" w:line="276" w:lineRule="auto"/>
        <w:contextualSpacing/>
      </w:pPr>
      <w:r>
        <w:t>Perceptible information – Is product labelling readable?</w:t>
      </w:r>
    </w:p>
    <w:p w14:paraId="1FB7AD53" w14:textId="77777777" w:rsidR="0002208D" w:rsidRDefault="0002208D" w:rsidP="0002208D">
      <w:pPr>
        <w:pStyle w:val="ListParagraph"/>
        <w:numPr>
          <w:ilvl w:val="0"/>
          <w:numId w:val="55"/>
        </w:numPr>
        <w:tabs>
          <w:tab w:val="clear" w:pos="2835"/>
        </w:tabs>
        <w:spacing w:after="160" w:line="276" w:lineRule="auto"/>
        <w:contextualSpacing/>
      </w:pPr>
      <w:r>
        <w:t>Low physical effort – Are items easy to open and handle?</w:t>
      </w:r>
    </w:p>
    <w:p w14:paraId="64811521" w14:textId="77777777" w:rsidR="0002208D" w:rsidRDefault="0002208D" w:rsidP="001666F6">
      <w:pPr>
        <w:pStyle w:val="Heading3"/>
      </w:pPr>
      <w:bookmarkStart w:id="154" w:name="_Toc228868659"/>
      <w:r>
        <w:t>Stage 3: Evaluate and award</w:t>
      </w:r>
      <w:bookmarkEnd w:id="154"/>
    </w:p>
    <w:p w14:paraId="471473DF" w14:textId="70E31731" w:rsidR="0002208D" w:rsidRDefault="0002208D" w:rsidP="0002208D">
      <w:r>
        <w:t>A simple evaluation approach is taken, using a pass/fail rating for each accessibility consideration.</w:t>
      </w:r>
      <w:r w:rsidR="00731F90">
        <w:t xml:space="preserve"> For example, </w:t>
      </w:r>
      <w:r w:rsidR="00736DC7">
        <w:t>markers with labels in very low-contrast lettering</w:t>
      </w:r>
      <w:r w:rsidR="009459AC">
        <w:t xml:space="preserve">, this may be a </w:t>
      </w:r>
      <w:proofErr w:type="gramStart"/>
      <w:r w:rsidR="009459AC">
        <w:t>fail</w:t>
      </w:r>
      <w:proofErr w:type="gramEnd"/>
      <w:r w:rsidR="009459AC">
        <w:t xml:space="preserve"> against ‘Perceptible information’.</w:t>
      </w:r>
    </w:p>
    <w:p w14:paraId="76AE0687" w14:textId="77777777" w:rsidR="0002208D" w:rsidRDefault="0002208D" w:rsidP="0002208D">
      <w:r>
        <w:t>A supplier is selected and a purchase order is issued.</w:t>
      </w:r>
    </w:p>
    <w:p w14:paraId="0D3D650D" w14:textId="77777777" w:rsidR="0002208D" w:rsidRDefault="0002208D" w:rsidP="001666F6">
      <w:pPr>
        <w:pStyle w:val="Heading3"/>
      </w:pPr>
      <w:bookmarkStart w:id="155" w:name="_Toc228868660"/>
      <w:r>
        <w:t>Stage 4: Receive goods</w:t>
      </w:r>
      <w:bookmarkEnd w:id="155"/>
    </w:p>
    <w:p w14:paraId="075A6EE1" w14:textId="4B8B2E9D" w:rsidR="0002208D" w:rsidRDefault="0002208D" w:rsidP="0002208D">
      <w:r>
        <w:t>On receipt, confirm items match the order and that there are no obvious usability issues (e.g. damaged packaging, illegible labelling)</w:t>
      </w:r>
      <w:r w:rsidR="000E4F00">
        <w:t>.</w:t>
      </w:r>
    </w:p>
    <w:p w14:paraId="6A23F134" w14:textId="191694F7" w:rsidR="000E4F00" w:rsidRDefault="008A1011" w:rsidP="0002208D">
      <w:r>
        <w:t xml:space="preserve">Encourage staff using the stationery to </w:t>
      </w:r>
      <w:r w:rsidR="00046DE6">
        <w:t>report</w:t>
      </w:r>
      <w:r w:rsidR="006B675A">
        <w:t xml:space="preserve"> to the procurement team</w:t>
      </w:r>
      <w:r w:rsidR="00046DE6">
        <w:t xml:space="preserve"> instances where th</w:t>
      </w:r>
      <w:r w:rsidR="0010053E">
        <w:t>ere are any issues with the product.</w:t>
      </w:r>
    </w:p>
    <w:p w14:paraId="335C6855" w14:textId="341E72AB" w:rsidR="0002208D" w:rsidRDefault="0002208D" w:rsidP="0002208D">
      <w:r>
        <w:t>If an accessibility issue is identified, items are swapped using standard supplier return processes and an alternative product is selected next time.</w:t>
      </w:r>
    </w:p>
    <w:p w14:paraId="64511485" w14:textId="77777777" w:rsidR="00F87745" w:rsidRDefault="00F87745">
      <w:pPr>
        <w:spacing w:after="0"/>
        <w:rPr>
          <w:rFonts w:eastAsia="MS Mincho" w:cs="Arial"/>
          <w:b/>
          <w:color w:val="05325F" w:themeColor="text2"/>
          <w:sz w:val="36"/>
          <w:szCs w:val="48"/>
          <w:lang w:val="en-GB"/>
        </w:rPr>
      </w:pPr>
      <w:r>
        <w:br w:type="page"/>
      </w:r>
    </w:p>
    <w:p w14:paraId="7BB13AF4" w14:textId="344AC453" w:rsidR="00BF2C3B" w:rsidRDefault="00BF2C3B" w:rsidP="001666F6">
      <w:pPr>
        <w:pStyle w:val="Heading1"/>
      </w:pPr>
      <w:bookmarkStart w:id="156" w:name="_Appendix_2:_Complaint"/>
      <w:bookmarkStart w:id="157" w:name="_Toc228868661"/>
      <w:bookmarkEnd w:id="156"/>
      <w:r>
        <w:lastRenderedPageBreak/>
        <w:t xml:space="preserve">Appendix </w:t>
      </w:r>
      <w:r w:rsidR="000759F2">
        <w:t>2</w:t>
      </w:r>
      <w:r>
        <w:t>: Complaint</w:t>
      </w:r>
      <w:r w:rsidRPr="00312766">
        <w:t xml:space="preserve"> examples</w:t>
      </w:r>
      <w:bookmarkEnd w:id="157"/>
    </w:p>
    <w:p w14:paraId="592FA191" w14:textId="77777777" w:rsidR="00BF2C3B" w:rsidRPr="008F71C2" w:rsidRDefault="00BF2C3B" w:rsidP="00342FC8">
      <w:pPr>
        <w:rPr>
          <w:rFonts w:cs="Arial"/>
          <w:szCs w:val="20"/>
        </w:rPr>
      </w:pPr>
      <w:r w:rsidRPr="008F71C2">
        <w:rPr>
          <w:rFonts w:cs="Arial"/>
          <w:szCs w:val="20"/>
        </w:rPr>
        <w:t xml:space="preserve">The AHRC investigates complaint allegations relating to non-compliance with the DDA and highlights other human rights systemic issues and legislative responsibilities. </w:t>
      </w:r>
    </w:p>
    <w:p w14:paraId="13562C7E" w14:textId="77777777" w:rsidR="00BF2C3B" w:rsidRPr="008F71C2" w:rsidRDefault="00BF2C3B" w:rsidP="00342FC8">
      <w:pPr>
        <w:rPr>
          <w:rFonts w:cs="Arial"/>
          <w:szCs w:val="20"/>
        </w:rPr>
      </w:pPr>
      <w:r w:rsidRPr="008F71C2">
        <w:rPr>
          <w:rFonts w:cs="Arial"/>
          <w:szCs w:val="20"/>
        </w:rPr>
        <w:t xml:space="preserve">The following complaint examples have been sourced from the </w:t>
      </w:r>
      <w:hyperlink r:id="rId59" w:history="1">
        <w:r w:rsidRPr="00A71F51">
          <w:rPr>
            <w:rStyle w:val="Hyperlink"/>
            <w:rFonts w:cs="Arial"/>
            <w:i/>
            <w:iCs/>
            <w:szCs w:val="20"/>
          </w:rPr>
          <w:t>Access for all: Improving accessibility for consumers with disability</w:t>
        </w:r>
      </w:hyperlink>
      <w:r w:rsidRPr="008F71C2">
        <w:rPr>
          <w:rFonts w:cs="Arial"/>
          <w:szCs w:val="20"/>
        </w:rPr>
        <w:t xml:space="preserve"> publication by the AHRC.</w:t>
      </w:r>
      <w:r>
        <w:rPr>
          <w:rFonts w:cs="Arial"/>
          <w:szCs w:val="20"/>
        </w:rPr>
        <w:t xml:space="preserve"> The examples are subject to a license by the AHRC </w:t>
      </w:r>
      <w:r w:rsidRPr="001737B4">
        <w:rPr>
          <w:rFonts w:cs="Arial"/>
          <w:szCs w:val="20"/>
        </w:rPr>
        <w:t>under the</w:t>
      </w:r>
      <w:r>
        <w:rPr>
          <w:rFonts w:cs="Arial"/>
          <w:szCs w:val="20"/>
        </w:rPr>
        <w:t xml:space="preserve"> </w:t>
      </w:r>
      <w:hyperlink r:id="rId60" w:history="1">
        <w:r>
          <w:rPr>
            <w:color w:val="0000FF"/>
            <w:u w:val="single"/>
          </w:rPr>
          <w:t>Creative Commons Attribution 4.0 International Licence</w:t>
        </w:r>
      </w:hyperlink>
      <w:r>
        <w:t>.</w:t>
      </w:r>
      <w:r w:rsidRPr="008F71C2">
        <w:rPr>
          <w:rFonts w:cs="Arial"/>
          <w:szCs w:val="20"/>
        </w:rPr>
        <w:t xml:space="preserve"> </w:t>
      </w:r>
    </w:p>
    <w:p w14:paraId="6BF59811" w14:textId="77777777" w:rsidR="00BF2C3B" w:rsidRPr="008F71C2" w:rsidRDefault="00BF2C3B" w:rsidP="00342FC8">
      <w:pPr>
        <w:rPr>
          <w:rFonts w:cs="Arial"/>
          <w:szCs w:val="20"/>
        </w:rPr>
      </w:pPr>
      <w:proofErr w:type="gramStart"/>
      <w:r>
        <w:rPr>
          <w:rFonts w:cs="Arial"/>
          <w:szCs w:val="20"/>
        </w:rPr>
        <w:t>For the purpose of</w:t>
      </w:r>
      <w:proofErr w:type="gramEnd"/>
      <w:r>
        <w:rPr>
          <w:rFonts w:cs="Arial"/>
          <w:szCs w:val="20"/>
        </w:rPr>
        <w:t xml:space="preserve"> this guide, e</w:t>
      </w:r>
      <w:r w:rsidRPr="008F71C2">
        <w:rPr>
          <w:rFonts w:cs="Arial"/>
          <w:szCs w:val="20"/>
        </w:rPr>
        <w:t xml:space="preserve">ach example has been categorised against a procurement category and demonstrates the importance of embedding accessibility requirements as part of procurement planning to reduce the risk of unintended discriminatory impacts.   </w:t>
      </w:r>
    </w:p>
    <w:p w14:paraId="47D7AA27" w14:textId="77777777" w:rsidR="00BF2C3B" w:rsidRPr="00BD3A09" w:rsidRDefault="00BF2C3B" w:rsidP="001666F6">
      <w:pPr>
        <w:pStyle w:val="Heading4"/>
      </w:pPr>
      <w:r w:rsidRPr="00BD3A09">
        <w:t>Information accessibility – Information and Communication and Technology </w:t>
      </w:r>
    </w:p>
    <w:p w14:paraId="37A77C40" w14:textId="77777777" w:rsidR="00BF2C3B" w:rsidRPr="00BD3A09" w:rsidRDefault="00BF2C3B" w:rsidP="00342FC8">
      <w:pPr>
        <w:pStyle w:val="Heading5"/>
        <w:rPr>
          <w:rFonts w:cs="Arial"/>
          <w:szCs w:val="20"/>
        </w:rPr>
      </w:pPr>
      <w:r w:rsidRPr="00BD3A09">
        <w:rPr>
          <w:rFonts w:cs="Arial"/>
          <w:szCs w:val="20"/>
        </w:rPr>
        <w:t>Unable to access product assistance:  </w:t>
      </w:r>
    </w:p>
    <w:p w14:paraId="2F56742D" w14:textId="77777777" w:rsidR="00BF2C3B" w:rsidRPr="008F71C2" w:rsidRDefault="00BF2C3B" w:rsidP="00342FC8">
      <w:pPr>
        <w:rPr>
          <w:rFonts w:cs="Arial"/>
          <w:szCs w:val="20"/>
        </w:rPr>
      </w:pPr>
      <w:r w:rsidRPr="008F71C2">
        <w:rPr>
          <w:rFonts w:cs="Arial"/>
          <w:szCs w:val="20"/>
        </w:rPr>
        <w:t>A woman with a hearing impairment complained that when she sought help from an information technology company in relation to a recently purchased product, she was told that assistance was only available over the phone. The company said that the complainant had received incorrect advice. The company did provide online product assistance and assistance via TTY (teletypewriter) relay services. The company apologised for what had happened and offered the complainant 12 months free access to a service upgrade. </w:t>
      </w:r>
    </w:p>
    <w:p w14:paraId="22B39C6B" w14:textId="77777777" w:rsidR="00BF2C3B" w:rsidRPr="00BD3A09" w:rsidRDefault="00BF2C3B" w:rsidP="001666F6">
      <w:pPr>
        <w:pStyle w:val="Heading4"/>
      </w:pPr>
      <w:r w:rsidRPr="00BD3A09">
        <w:t>Accessible premises and events – Building Construction and Maintenance </w:t>
      </w:r>
    </w:p>
    <w:p w14:paraId="5F8485F1" w14:textId="77777777" w:rsidR="00BF2C3B" w:rsidRPr="00BD3A09" w:rsidRDefault="00BF2C3B" w:rsidP="00342FC8">
      <w:pPr>
        <w:pStyle w:val="Heading5"/>
        <w:rPr>
          <w:rFonts w:cs="Arial"/>
          <w:szCs w:val="20"/>
        </w:rPr>
      </w:pPr>
      <w:r w:rsidRPr="00BD3A09">
        <w:rPr>
          <w:rFonts w:cs="Arial"/>
          <w:szCs w:val="20"/>
        </w:rPr>
        <w:t>Barriers at entrances and items in aisles:  </w:t>
      </w:r>
    </w:p>
    <w:p w14:paraId="7A135CEB" w14:textId="77777777" w:rsidR="00BF2C3B" w:rsidRPr="008F71C2" w:rsidRDefault="00BF2C3B" w:rsidP="00342FC8">
      <w:pPr>
        <w:rPr>
          <w:rFonts w:cs="Arial"/>
          <w:szCs w:val="20"/>
        </w:rPr>
      </w:pPr>
      <w:r w:rsidRPr="008F71C2">
        <w:rPr>
          <w:rFonts w:cs="Arial"/>
          <w:szCs w:val="20"/>
        </w:rPr>
        <w:t>A woman who uses a wheelchair complained that she had difficulty shopping in her local supermarket due to such things as turnstiles at the entrance and displays and goods being placed in the aisles. The complaint was resolved when the supermarket agreed, among other things, to remove turnstiles at the entrance and convey instructions to staff about keeping passages clear and remodel displays to ensure aisles are kept</w:t>
      </w:r>
      <w:r w:rsidRPr="008F71C2">
        <w:rPr>
          <w:rFonts w:cs="Arial"/>
          <w:szCs w:val="20"/>
          <w:lang w:val="en"/>
        </w:rPr>
        <w:t xml:space="preserve"> clear.</w:t>
      </w:r>
      <w:r w:rsidRPr="008F71C2">
        <w:rPr>
          <w:rFonts w:cs="Arial"/>
          <w:szCs w:val="20"/>
        </w:rPr>
        <w:t> </w:t>
      </w:r>
    </w:p>
    <w:p w14:paraId="53E09290" w14:textId="77777777" w:rsidR="00BF2C3B" w:rsidRPr="00BD3A09" w:rsidRDefault="00BF2C3B" w:rsidP="00342FC8">
      <w:pPr>
        <w:pStyle w:val="Heading5"/>
        <w:rPr>
          <w:rFonts w:cs="Arial"/>
          <w:szCs w:val="20"/>
        </w:rPr>
      </w:pPr>
      <w:r w:rsidRPr="00BD3A09">
        <w:rPr>
          <w:rFonts w:cs="Arial"/>
          <w:szCs w:val="20"/>
        </w:rPr>
        <w:t>Lack of lift access:  </w:t>
      </w:r>
    </w:p>
    <w:p w14:paraId="69638D6E" w14:textId="77777777" w:rsidR="00BF2C3B" w:rsidRPr="008F71C2" w:rsidRDefault="00BF2C3B" w:rsidP="00342FC8">
      <w:pPr>
        <w:rPr>
          <w:rFonts w:cs="Arial"/>
          <w:szCs w:val="20"/>
        </w:rPr>
      </w:pPr>
      <w:r w:rsidRPr="008F71C2">
        <w:rPr>
          <w:rFonts w:cs="Arial"/>
          <w:szCs w:val="20"/>
        </w:rPr>
        <w:t>A man who uses a wheelchair complained that a publicly funded arts facility did not have public lift access. This meant that patrons who could not use stairs had to use the goods lift and be accompanied by staff through otherwise ‘off limit’ areas of the building. The complaint was resolved with an agreement that the arts centre would install an appropriate public lift. </w:t>
      </w:r>
    </w:p>
    <w:p w14:paraId="2B359D1D" w14:textId="77777777" w:rsidR="00BF2C3B" w:rsidRPr="00BD3A09" w:rsidRDefault="00BF2C3B" w:rsidP="00342FC8">
      <w:pPr>
        <w:pStyle w:val="Heading5"/>
        <w:rPr>
          <w:rFonts w:cs="Arial"/>
          <w:szCs w:val="20"/>
        </w:rPr>
      </w:pPr>
      <w:r w:rsidRPr="00BD3A09">
        <w:rPr>
          <w:rFonts w:cs="Arial"/>
          <w:szCs w:val="20"/>
        </w:rPr>
        <w:t>Lack of audio loop: </w:t>
      </w:r>
    </w:p>
    <w:p w14:paraId="42D92772" w14:textId="77777777" w:rsidR="00BF2C3B" w:rsidRPr="008F71C2" w:rsidRDefault="00BF2C3B" w:rsidP="00342FC8">
      <w:pPr>
        <w:rPr>
          <w:rFonts w:cs="Arial"/>
          <w:szCs w:val="20"/>
        </w:rPr>
      </w:pPr>
      <w:r w:rsidRPr="008F71C2">
        <w:rPr>
          <w:rFonts w:cs="Arial"/>
          <w:szCs w:val="20"/>
        </w:rPr>
        <w:t xml:space="preserve">A man who has a hearing impairment said he attended a lecture series at a public venue but was unable to hear the content as the theatre did not have an audio loop. The complaint was resolved </w:t>
      </w:r>
      <w:proofErr w:type="gramStart"/>
      <w:r w:rsidRPr="008F71C2">
        <w:rPr>
          <w:rFonts w:cs="Arial"/>
          <w:szCs w:val="20"/>
        </w:rPr>
        <w:t>on the basis of</w:t>
      </w:r>
      <w:proofErr w:type="gramEnd"/>
      <w:r w:rsidRPr="008F71C2">
        <w:rPr>
          <w:rFonts w:cs="Arial"/>
          <w:szCs w:val="20"/>
        </w:rPr>
        <w:t xml:space="preserve"> an agreement to provide the man with an </w:t>
      </w:r>
      <w:proofErr w:type="gramStart"/>
      <w:r w:rsidRPr="008F71C2">
        <w:rPr>
          <w:rFonts w:cs="Arial"/>
          <w:szCs w:val="20"/>
        </w:rPr>
        <w:t>apology,</w:t>
      </w:r>
      <w:proofErr w:type="gramEnd"/>
      <w:r w:rsidRPr="008F71C2">
        <w:rPr>
          <w:rFonts w:cs="Arial"/>
          <w:szCs w:val="20"/>
        </w:rPr>
        <w:t xml:space="preserve"> refund the fee he had paid and install an audio hearing loop in the theatre. </w:t>
      </w:r>
    </w:p>
    <w:p w14:paraId="1FCB05F3" w14:textId="3112DF33" w:rsidR="00BF2C3B" w:rsidRPr="00BD3A09" w:rsidRDefault="00BF2C3B" w:rsidP="001666F6">
      <w:pPr>
        <w:pStyle w:val="Heading4"/>
      </w:pPr>
      <w:r w:rsidRPr="00BD3A09">
        <w:t>Accessible transport – Transport and Infrastructure Services </w:t>
      </w:r>
    </w:p>
    <w:p w14:paraId="4AB00455" w14:textId="77777777" w:rsidR="00BF2C3B" w:rsidRPr="00BD3A09" w:rsidRDefault="00BF2C3B" w:rsidP="00342FC8">
      <w:pPr>
        <w:pStyle w:val="Heading5"/>
        <w:rPr>
          <w:rFonts w:cs="Arial"/>
          <w:szCs w:val="20"/>
        </w:rPr>
      </w:pPr>
      <w:r w:rsidRPr="00BD3A09">
        <w:rPr>
          <w:rFonts w:cs="Arial"/>
          <w:szCs w:val="20"/>
        </w:rPr>
        <w:t>Lack of ramps for buses:  </w:t>
      </w:r>
    </w:p>
    <w:p w14:paraId="5DA30E8A" w14:textId="77777777" w:rsidR="00BF2C3B" w:rsidRPr="008F71C2" w:rsidRDefault="00BF2C3B" w:rsidP="00342FC8">
      <w:pPr>
        <w:rPr>
          <w:rFonts w:cs="Arial"/>
          <w:szCs w:val="20"/>
        </w:rPr>
      </w:pPr>
      <w:r w:rsidRPr="008F71C2">
        <w:rPr>
          <w:rFonts w:cs="Arial"/>
          <w:szCs w:val="20"/>
          <w:lang w:val="en-US"/>
        </w:rPr>
        <w:t xml:space="preserve">A man who uses a wheelchair complained that ramps on the accessible buses in his area were frequently out of order for long periods. The complaint was resolved when the bus operator confirmed that the ramps had been repaired and arrangements </w:t>
      </w:r>
      <w:proofErr w:type="gramStart"/>
      <w:r w:rsidRPr="008F71C2">
        <w:rPr>
          <w:rFonts w:cs="Arial"/>
          <w:szCs w:val="20"/>
          <w:lang w:val="en-US"/>
        </w:rPr>
        <w:t>made</w:t>
      </w:r>
      <w:proofErr w:type="gramEnd"/>
      <w:r w:rsidRPr="008F71C2">
        <w:rPr>
          <w:rFonts w:cs="Arial"/>
          <w:szCs w:val="20"/>
          <w:lang w:val="en-US"/>
        </w:rPr>
        <w:t xml:space="preserve"> to ensure the workshop gave priority attention to ramp maintenance and repairs in the future. </w:t>
      </w:r>
      <w:r w:rsidRPr="008F71C2">
        <w:rPr>
          <w:rFonts w:cs="Arial"/>
          <w:szCs w:val="20"/>
        </w:rPr>
        <w:t> </w:t>
      </w:r>
    </w:p>
    <w:p w14:paraId="53719FEB" w14:textId="77777777" w:rsidR="00BF2C3B" w:rsidRPr="00BD3A09" w:rsidRDefault="00BF2C3B" w:rsidP="001666F6">
      <w:pPr>
        <w:pStyle w:val="Heading4"/>
      </w:pPr>
      <w:r w:rsidRPr="00BD3A09">
        <w:t>Web accessibility – Information and Communication Technology </w:t>
      </w:r>
    </w:p>
    <w:p w14:paraId="4910E7C4" w14:textId="77777777" w:rsidR="00BF2C3B" w:rsidRPr="00BD3A09" w:rsidRDefault="00BF2C3B" w:rsidP="00342FC8">
      <w:pPr>
        <w:pStyle w:val="Heading5"/>
        <w:rPr>
          <w:rFonts w:cs="Arial"/>
          <w:szCs w:val="20"/>
        </w:rPr>
      </w:pPr>
      <w:r w:rsidRPr="00BD3A09">
        <w:rPr>
          <w:rFonts w:cs="Arial"/>
          <w:szCs w:val="20"/>
        </w:rPr>
        <w:t>Problems with online banking:</w:t>
      </w:r>
    </w:p>
    <w:p w14:paraId="28982B89" w14:textId="77777777" w:rsidR="00BF2C3B" w:rsidRDefault="00BF2C3B">
      <w:r w:rsidRPr="006A6392">
        <w:rPr>
          <w:rFonts w:cs="Arial"/>
          <w:szCs w:val="20"/>
        </w:rPr>
        <w:t>A woman who has a vision impairment complained that she could not access her credit union’s online banking service because the security features that had been installed to verify identify were not accessible to her. The complaint was resolved when the credit union agreed to upgrade its site to provide an accessible method for verifying a person’s identity.</w:t>
      </w:r>
    </w:p>
    <w:p w14:paraId="2BA78B26" w14:textId="6272DF29" w:rsidR="009F0DD9" w:rsidRPr="00A71F51" w:rsidRDefault="009F0DD9" w:rsidP="00A71F51">
      <w:pPr>
        <w:spacing w:after="0"/>
        <w:rPr>
          <w:rFonts w:ascii="Arial Black" w:eastAsia="MS Mincho" w:hAnsi="Arial Black" w:cs="Arial"/>
          <w:b/>
          <w:color w:val="05325F" w:themeColor="text2"/>
          <w:sz w:val="48"/>
          <w:szCs w:val="48"/>
          <w:lang w:val="en-GB"/>
        </w:rPr>
      </w:pPr>
    </w:p>
    <w:sectPr w:rsidR="009F0DD9" w:rsidRPr="00A71F51" w:rsidSect="00225207">
      <w:headerReference w:type="even" r:id="rId61"/>
      <w:headerReference w:type="default" r:id="rId62"/>
      <w:footerReference w:type="default" r:id="rId63"/>
      <w:headerReference w:type="first" r:id="rId64"/>
      <w:footerReference w:type="first" r:id="rId65"/>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44BB" w14:textId="77777777" w:rsidR="002F5DAD" w:rsidRDefault="002F5DAD" w:rsidP="00190C24">
      <w:r>
        <w:separator/>
      </w:r>
    </w:p>
  </w:endnote>
  <w:endnote w:type="continuationSeparator" w:id="0">
    <w:p w14:paraId="6F45B925" w14:textId="77777777" w:rsidR="002F5DAD" w:rsidRDefault="002F5DA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0000021"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734" w14:textId="030DAB2E" w:rsidR="00FD5B33" w:rsidRPr="00FD5B33" w:rsidRDefault="00FD5B33"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4374" w14:textId="77777777" w:rsidR="00FD5B33" w:rsidRPr="00FD5B33" w:rsidRDefault="00FD5B33">
    <w:pPr>
      <w:pStyle w:val="Footer"/>
      <w:rPr>
        <w:sz w:val="16"/>
        <w:szCs w:val="16"/>
      </w:rPr>
    </w:pPr>
    <w:r w:rsidRPr="00FD5B33">
      <w:rPr>
        <w:noProof/>
        <w:sz w:val="16"/>
        <w:szCs w:val="16"/>
      </w:rPr>
      <w:drawing>
        <wp:anchor distT="0" distB="0" distL="114300" distR="114300" simplePos="0" relativeHeight="251659264" behindDoc="1" locked="0" layoutInCell="1" allowOverlap="1" wp14:anchorId="6245CB89" wp14:editId="2A9E3D28">
          <wp:simplePos x="0" y="0"/>
          <wp:positionH relativeFrom="margin">
            <wp:posOffset>-443230</wp:posOffset>
          </wp:positionH>
          <wp:positionV relativeFrom="page">
            <wp:posOffset>9779635</wp:posOffset>
          </wp:positionV>
          <wp:extent cx="7573010" cy="895350"/>
          <wp:effectExtent l="0" t="0" r="8890" b="0"/>
          <wp:wrapNone/>
          <wp:docPr id="1130675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97BD4" w14:textId="77777777" w:rsidR="00FD5B33" w:rsidRPr="00FD5B33" w:rsidRDefault="00FD5B33">
    <w:pPr>
      <w:pStyle w:val="Footer"/>
      <w:rPr>
        <w:sz w:val="16"/>
        <w:szCs w:val="16"/>
      </w:rPr>
    </w:pPr>
  </w:p>
  <w:p w14:paraId="697040D1" w14:textId="77777777" w:rsidR="00FD5B33" w:rsidRPr="00FD5B33" w:rsidRDefault="00FD5B33">
    <w:pPr>
      <w:pStyle w:val="Footer"/>
      <w:rPr>
        <w:sz w:val="16"/>
        <w:szCs w:val="16"/>
      </w:rPr>
    </w:pPr>
  </w:p>
  <w:p w14:paraId="127372BC" w14:textId="77777777" w:rsidR="00FD5B33" w:rsidRPr="00FD5B33" w:rsidRDefault="00FD5B3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7FA7" w14:textId="77777777" w:rsidR="002F5DAD" w:rsidRDefault="002F5DAD" w:rsidP="00190C24">
      <w:r>
        <w:separator/>
      </w:r>
    </w:p>
  </w:footnote>
  <w:footnote w:type="continuationSeparator" w:id="0">
    <w:p w14:paraId="36FF1C49" w14:textId="77777777" w:rsidR="002F5DAD" w:rsidRDefault="002F5DAD" w:rsidP="00190C24">
      <w:r>
        <w:continuationSeparator/>
      </w:r>
    </w:p>
  </w:footnote>
  <w:footnote w:id="1">
    <w:p w14:paraId="58713639" w14:textId="77777777" w:rsidR="00BF2C3B" w:rsidRPr="00907111" w:rsidRDefault="00BF2C3B" w:rsidP="00DA5CF2">
      <w:pPr>
        <w:pStyle w:val="FootnoteText"/>
        <w:rPr>
          <w:sz w:val="18"/>
          <w:szCs w:val="18"/>
        </w:rPr>
      </w:pPr>
      <w:r>
        <w:rPr>
          <w:rStyle w:val="FootnoteReference"/>
        </w:rPr>
        <w:t>1</w:t>
      </w:r>
      <w:r w:rsidRPr="00907111">
        <w:rPr>
          <w:sz w:val="18"/>
          <w:szCs w:val="18"/>
        </w:rPr>
        <w:t xml:space="preserve"> </w:t>
      </w:r>
      <w:r w:rsidRPr="007F5230">
        <w:rPr>
          <w:rStyle w:val="normaltextrun"/>
          <w:color w:val="000000"/>
          <w:sz w:val="18"/>
          <w:szCs w:val="18"/>
          <w:shd w:val="clear" w:color="auto" w:fill="FFFFFF"/>
        </w:rPr>
        <w:t>Please note, this is not an exhaustive list of all the information or organisations that may be available to provide further consultation or for engaging specialist advice or training. </w:t>
      </w:r>
      <w:r>
        <w:rPr>
          <w:rStyle w:val="normaltextrun"/>
          <w:color w:val="000000"/>
          <w:sz w:val="18"/>
          <w:szCs w:val="18"/>
          <w:shd w:val="clear" w:color="auto" w:fill="FFFFFF"/>
        </w:rPr>
        <w:t xml:space="preserve">Queensland Government Procurement </w:t>
      </w:r>
      <w:r w:rsidRPr="007F5230">
        <w:rPr>
          <w:rStyle w:val="normaltextrun"/>
          <w:color w:val="000000"/>
          <w:sz w:val="18"/>
          <w:szCs w:val="18"/>
          <w:shd w:val="clear" w:color="auto" w:fill="FFFFFF"/>
        </w:rPr>
        <w:t>does not endorse or take responsibility for the information contained on the organisation’s websites.</w:t>
      </w:r>
      <w:r w:rsidRPr="007F5230">
        <w:rPr>
          <w:rStyle w:val="eop"/>
          <w:rFonts w:cs="Arial"/>
          <w:color w:val="000000"/>
          <w:sz w:val="18"/>
          <w:szCs w:val="18"/>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87F4" w14:textId="7C6FE3F4" w:rsidR="009B5A87" w:rsidRDefault="009B5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F1A9" w14:textId="6B890358" w:rsidR="00225207" w:rsidRPr="008857F4" w:rsidRDefault="00FF1155" w:rsidP="00225207">
    <w:pPr>
      <w:pStyle w:val="Header"/>
      <w:pBdr>
        <w:bottom w:val="single" w:sz="12" w:space="8" w:color="005EB8" w:themeColor="text1"/>
      </w:pBdr>
      <w:spacing w:after="360"/>
      <w:contextualSpacing/>
      <w:jc w:val="right"/>
      <w:rPr>
        <w:sz w:val="18"/>
        <w:szCs w:val="18"/>
      </w:rPr>
    </w:pPr>
    <w:r>
      <w:rPr>
        <w:sz w:val="18"/>
        <w:szCs w:val="18"/>
      </w:rPr>
      <w:t>Accessibility in procurement: Ensuring accessibility for people with disability guide</w:t>
    </w:r>
  </w:p>
  <w:p w14:paraId="262FBEE2" w14:textId="77777777" w:rsidR="00555C3B" w:rsidRPr="00555C3B" w:rsidRDefault="00555C3B" w:rsidP="00555C3B">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690" w14:textId="0CE9B275" w:rsidR="00225207" w:rsidRPr="00555C3B" w:rsidRDefault="00225207" w:rsidP="0076714C">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61312" behindDoc="0" locked="0" layoutInCell="1" allowOverlap="1" wp14:anchorId="13E49970" wp14:editId="43DF22C5">
              <wp:simplePos x="0" y="0"/>
              <wp:positionH relativeFrom="column">
                <wp:posOffset>-584371</wp:posOffset>
              </wp:positionH>
              <wp:positionV relativeFrom="paragraph">
                <wp:posOffset>267970</wp:posOffset>
              </wp:positionV>
              <wp:extent cx="15113000" cy="0"/>
              <wp:effectExtent l="0" t="0" r="0" b="0"/>
              <wp:wrapNone/>
              <wp:docPr id="323756555"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F00A79">
            <v:line id="Straight Connector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17E49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p w14:paraId="1DDBA2D4" w14:textId="77777777"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D81"/>
    <w:multiLevelType w:val="multilevel"/>
    <w:tmpl w:val="C666B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9728A"/>
    <w:multiLevelType w:val="hybridMultilevel"/>
    <w:tmpl w:val="AF469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8E5B4F"/>
    <w:multiLevelType w:val="hybridMultilevel"/>
    <w:tmpl w:val="3BA49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706469"/>
    <w:multiLevelType w:val="multilevel"/>
    <w:tmpl w:val="C6D09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4FF0"/>
    <w:multiLevelType w:val="hybridMultilevel"/>
    <w:tmpl w:val="CECE3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C2DA2"/>
    <w:multiLevelType w:val="hybridMultilevel"/>
    <w:tmpl w:val="C7D60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085D"/>
    <w:multiLevelType w:val="multilevel"/>
    <w:tmpl w:val="2222D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04E06"/>
    <w:multiLevelType w:val="hybridMultilevel"/>
    <w:tmpl w:val="FF9CA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9BC7E9A"/>
    <w:multiLevelType w:val="multilevel"/>
    <w:tmpl w:val="41920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F9633F"/>
    <w:multiLevelType w:val="multilevel"/>
    <w:tmpl w:val="722C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B005D"/>
    <w:multiLevelType w:val="hybridMultilevel"/>
    <w:tmpl w:val="61823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8D2237"/>
    <w:multiLevelType w:val="multilevel"/>
    <w:tmpl w:val="7E3A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C28B4"/>
    <w:multiLevelType w:val="hybridMultilevel"/>
    <w:tmpl w:val="76BE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072403"/>
    <w:multiLevelType w:val="hybridMultilevel"/>
    <w:tmpl w:val="7EB20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C3497"/>
    <w:multiLevelType w:val="hybridMultilevel"/>
    <w:tmpl w:val="84485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0F73F7"/>
    <w:multiLevelType w:val="multilevel"/>
    <w:tmpl w:val="25128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168D1"/>
    <w:multiLevelType w:val="hybridMultilevel"/>
    <w:tmpl w:val="A42A4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D1820"/>
    <w:multiLevelType w:val="hybridMultilevel"/>
    <w:tmpl w:val="7B74A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2927AD"/>
    <w:multiLevelType w:val="hybridMultilevel"/>
    <w:tmpl w:val="AA922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0ED01C0"/>
    <w:multiLevelType w:val="hybridMultilevel"/>
    <w:tmpl w:val="A2369B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9225FB"/>
    <w:multiLevelType w:val="hybridMultilevel"/>
    <w:tmpl w:val="9F4C9A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7E61D8"/>
    <w:multiLevelType w:val="hybridMultilevel"/>
    <w:tmpl w:val="0A0CBB92"/>
    <w:lvl w:ilvl="0" w:tplc="498CED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96752F"/>
    <w:multiLevelType w:val="hybridMultilevel"/>
    <w:tmpl w:val="3A122A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F220B0E"/>
    <w:multiLevelType w:val="multilevel"/>
    <w:tmpl w:val="93FA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D3856"/>
    <w:multiLevelType w:val="hybridMultilevel"/>
    <w:tmpl w:val="19A07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1F4216"/>
    <w:multiLevelType w:val="hybridMultilevel"/>
    <w:tmpl w:val="F340A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65C411E"/>
    <w:multiLevelType w:val="hybridMultilevel"/>
    <w:tmpl w:val="DEC81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8A34B6"/>
    <w:multiLevelType w:val="multilevel"/>
    <w:tmpl w:val="D0AC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8282D83"/>
    <w:multiLevelType w:val="hybridMultilevel"/>
    <w:tmpl w:val="4828B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2671B5"/>
    <w:multiLevelType w:val="multilevel"/>
    <w:tmpl w:val="F702A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2A7C11"/>
    <w:multiLevelType w:val="multilevel"/>
    <w:tmpl w:val="C54A3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41580A"/>
    <w:multiLevelType w:val="hybridMultilevel"/>
    <w:tmpl w:val="80F81EE8"/>
    <w:lvl w:ilvl="0" w:tplc="EDB4BB7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69062CB"/>
    <w:multiLevelType w:val="hybridMultilevel"/>
    <w:tmpl w:val="822C7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B061C9"/>
    <w:multiLevelType w:val="hybridMultilevel"/>
    <w:tmpl w:val="42005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ADF4B0E"/>
    <w:multiLevelType w:val="hybridMultilevel"/>
    <w:tmpl w:val="42786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AC33CA"/>
    <w:multiLevelType w:val="multilevel"/>
    <w:tmpl w:val="2EACE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C029CA"/>
    <w:multiLevelType w:val="hybridMultilevel"/>
    <w:tmpl w:val="C4C8D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B10C07"/>
    <w:multiLevelType w:val="hybridMultilevel"/>
    <w:tmpl w:val="5A56E87C"/>
    <w:lvl w:ilvl="0" w:tplc="8BDAC48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6404C1D"/>
    <w:multiLevelType w:val="multilevel"/>
    <w:tmpl w:val="97BCB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C627B6"/>
    <w:multiLevelType w:val="hybridMultilevel"/>
    <w:tmpl w:val="5096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FD7998"/>
    <w:multiLevelType w:val="hybridMultilevel"/>
    <w:tmpl w:val="CC4AC96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887387F"/>
    <w:multiLevelType w:val="multilevel"/>
    <w:tmpl w:val="36AA6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0342FD"/>
    <w:multiLevelType w:val="hybridMultilevel"/>
    <w:tmpl w:val="2F9E0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C11AEB"/>
    <w:multiLevelType w:val="hybridMultilevel"/>
    <w:tmpl w:val="834C6A54"/>
    <w:lvl w:ilvl="0" w:tplc="B5EA50E2">
      <w:start w:val="1"/>
      <w:numFmt w:val="decimal"/>
      <w:lvlText w:val="%1."/>
      <w:lvlJc w:val="left"/>
      <w:pPr>
        <w:ind w:left="720" w:hanging="360"/>
      </w:pPr>
      <w:rPr>
        <w:rFonts w:hint="default"/>
        <w:b w:val="0"/>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7C7FD3"/>
    <w:multiLevelType w:val="hybridMultilevel"/>
    <w:tmpl w:val="067C4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625B76"/>
    <w:multiLevelType w:val="hybridMultilevel"/>
    <w:tmpl w:val="C0EA4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28"/>
  </w:num>
  <w:num w:numId="3" w16cid:durableId="424690506">
    <w:abstractNumId w:val="18"/>
  </w:num>
  <w:num w:numId="4" w16cid:durableId="1352219071">
    <w:abstractNumId w:val="1"/>
  </w:num>
  <w:num w:numId="5" w16cid:durableId="688750406">
    <w:abstractNumId w:val="45"/>
  </w:num>
  <w:num w:numId="6" w16cid:durableId="1293293078">
    <w:abstractNumId w:val="53"/>
  </w:num>
  <w:num w:numId="7" w16cid:durableId="1258902616">
    <w:abstractNumId w:val="27"/>
  </w:num>
  <w:num w:numId="8" w16cid:durableId="1941519922">
    <w:abstractNumId w:val="34"/>
  </w:num>
  <w:num w:numId="9" w16cid:durableId="916981669">
    <w:abstractNumId w:val="41"/>
  </w:num>
  <w:num w:numId="10" w16cid:durableId="887379260">
    <w:abstractNumId w:val="14"/>
  </w:num>
  <w:num w:numId="11" w16cid:durableId="1225142324">
    <w:abstractNumId w:val="52"/>
  </w:num>
  <w:num w:numId="12" w16cid:durableId="955870358">
    <w:abstractNumId w:val="21"/>
  </w:num>
  <w:num w:numId="13" w16cid:durableId="766998608">
    <w:abstractNumId w:val="15"/>
  </w:num>
  <w:num w:numId="14" w16cid:durableId="477116406">
    <w:abstractNumId w:val="23"/>
  </w:num>
  <w:num w:numId="15" w16cid:durableId="662203084">
    <w:abstractNumId w:val="51"/>
  </w:num>
  <w:num w:numId="16" w16cid:durableId="155540347">
    <w:abstractNumId w:val="20"/>
  </w:num>
  <w:num w:numId="17" w16cid:durableId="671495227">
    <w:abstractNumId w:val="47"/>
  </w:num>
  <w:num w:numId="18" w16cid:durableId="1689715861">
    <w:abstractNumId w:val="39"/>
  </w:num>
  <w:num w:numId="19" w16cid:durableId="855651519">
    <w:abstractNumId w:val="24"/>
  </w:num>
  <w:num w:numId="20" w16cid:durableId="1866820850">
    <w:abstractNumId w:val="44"/>
  </w:num>
  <w:num w:numId="21" w16cid:durableId="958730894">
    <w:abstractNumId w:val="2"/>
  </w:num>
  <w:num w:numId="22" w16cid:durableId="377094750">
    <w:abstractNumId w:val="4"/>
  </w:num>
  <w:num w:numId="23" w16cid:durableId="1741293453">
    <w:abstractNumId w:val="30"/>
  </w:num>
  <w:num w:numId="24" w16cid:durableId="735786115">
    <w:abstractNumId w:val="32"/>
  </w:num>
  <w:num w:numId="25" w16cid:durableId="2100321259">
    <w:abstractNumId w:val="7"/>
  </w:num>
  <w:num w:numId="26" w16cid:durableId="467628395">
    <w:abstractNumId w:val="43"/>
  </w:num>
  <w:num w:numId="27" w16cid:durableId="56783785">
    <w:abstractNumId w:val="54"/>
  </w:num>
  <w:num w:numId="28" w16cid:durableId="1649629246">
    <w:abstractNumId w:val="6"/>
  </w:num>
  <w:num w:numId="29" w16cid:durableId="474836895">
    <w:abstractNumId w:val="48"/>
  </w:num>
  <w:num w:numId="30" w16cid:durableId="398332204">
    <w:abstractNumId w:val="40"/>
  </w:num>
  <w:num w:numId="31" w16cid:durableId="359553177">
    <w:abstractNumId w:val="12"/>
  </w:num>
  <w:num w:numId="32" w16cid:durableId="1137919700">
    <w:abstractNumId w:val="50"/>
  </w:num>
  <w:num w:numId="33" w16cid:durableId="5402576">
    <w:abstractNumId w:val="35"/>
  </w:num>
  <w:num w:numId="34" w16cid:durableId="456342563">
    <w:abstractNumId w:val="25"/>
  </w:num>
  <w:num w:numId="35" w16cid:durableId="2085644324">
    <w:abstractNumId w:val="38"/>
  </w:num>
  <w:num w:numId="36" w16cid:durableId="1481649288">
    <w:abstractNumId w:val="38"/>
    <w:lvlOverride w:ilvl="0">
      <w:startOverride w:val="1"/>
    </w:lvlOverride>
  </w:num>
  <w:num w:numId="37" w16cid:durableId="1032802756">
    <w:abstractNumId w:val="31"/>
  </w:num>
  <w:num w:numId="38" w16cid:durableId="715592326">
    <w:abstractNumId w:val="19"/>
  </w:num>
  <w:num w:numId="39" w16cid:durableId="92672446">
    <w:abstractNumId w:val="36"/>
  </w:num>
  <w:num w:numId="40" w16cid:durableId="176117018">
    <w:abstractNumId w:val="0"/>
  </w:num>
  <w:num w:numId="41" w16cid:durableId="1894192126">
    <w:abstractNumId w:val="22"/>
  </w:num>
  <w:num w:numId="42" w16cid:durableId="442001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1566622">
    <w:abstractNumId w:val="11"/>
  </w:num>
  <w:num w:numId="44" w16cid:durableId="1267616713">
    <w:abstractNumId w:val="49"/>
  </w:num>
  <w:num w:numId="45" w16cid:durableId="846793620">
    <w:abstractNumId w:val="8"/>
  </w:num>
  <w:num w:numId="46" w16cid:durableId="1198201007">
    <w:abstractNumId w:val="29"/>
  </w:num>
  <w:num w:numId="47" w16cid:durableId="61298733">
    <w:abstractNumId w:val="42"/>
  </w:num>
  <w:num w:numId="48" w16cid:durableId="213391917">
    <w:abstractNumId w:val="5"/>
  </w:num>
  <w:num w:numId="49" w16cid:durableId="1394307725">
    <w:abstractNumId w:val="17"/>
  </w:num>
  <w:num w:numId="50" w16cid:durableId="886573954">
    <w:abstractNumId w:val="46"/>
  </w:num>
  <w:num w:numId="51" w16cid:durableId="830096106">
    <w:abstractNumId w:val="33"/>
  </w:num>
  <w:num w:numId="52" w16cid:durableId="319626980">
    <w:abstractNumId w:val="37"/>
  </w:num>
  <w:num w:numId="53" w16cid:durableId="1299607063">
    <w:abstractNumId w:val="13"/>
  </w:num>
  <w:num w:numId="54" w16cid:durableId="451823627">
    <w:abstractNumId w:val="16"/>
  </w:num>
  <w:num w:numId="55" w16cid:durableId="1915504395">
    <w:abstractNumId w:val="9"/>
  </w:num>
  <w:num w:numId="56" w16cid:durableId="1069303360">
    <w:abstractNumId w:val="38"/>
  </w:num>
  <w:num w:numId="57" w16cid:durableId="59448676">
    <w:abstractNumId w:val="38"/>
  </w:num>
  <w:num w:numId="58" w16cid:durableId="1859613198">
    <w:abstractNumId w:val="38"/>
  </w:num>
  <w:num w:numId="59" w16cid:durableId="107360686">
    <w:abstractNumId w:val="26"/>
  </w:num>
  <w:num w:numId="60" w16cid:durableId="1200169148">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67"/>
    <w:rsid w:val="00003124"/>
    <w:rsid w:val="00003475"/>
    <w:rsid w:val="00007985"/>
    <w:rsid w:val="00010757"/>
    <w:rsid w:val="000116B7"/>
    <w:rsid w:val="00011E96"/>
    <w:rsid w:val="0002155B"/>
    <w:rsid w:val="0002208D"/>
    <w:rsid w:val="00022498"/>
    <w:rsid w:val="00022875"/>
    <w:rsid w:val="00027C93"/>
    <w:rsid w:val="000425F7"/>
    <w:rsid w:val="000436FC"/>
    <w:rsid w:val="00046DE6"/>
    <w:rsid w:val="0005471A"/>
    <w:rsid w:val="00055FCF"/>
    <w:rsid w:val="00061FBC"/>
    <w:rsid w:val="00066E58"/>
    <w:rsid w:val="0007176B"/>
    <w:rsid w:val="000759F2"/>
    <w:rsid w:val="00076773"/>
    <w:rsid w:val="000818C1"/>
    <w:rsid w:val="00083751"/>
    <w:rsid w:val="00084656"/>
    <w:rsid w:val="00087F92"/>
    <w:rsid w:val="000931A2"/>
    <w:rsid w:val="000958ED"/>
    <w:rsid w:val="000A2794"/>
    <w:rsid w:val="000B61AC"/>
    <w:rsid w:val="000D6408"/>
    <w:rsid w:val="000E0467"/>
    <w:rsid w:val="000E1223"/>
    <w:rsid w:val="000E349C"/>
    <w:rsid w:val="000E4088"/>
    <w:rsid w:val="000E4F00"/>
    <w:rsid w:val="000F4E58"/>
    <w:rsid w:val="000F5265"/>
    <w:rsid w:val="000F7EE6"/>
    <w:rsid w:val="000F7FDE"/>
    <w:rsid w:val="001000FC"/>
    <w:rsid w:val="0010053E"/>
    <w:rsid w:val="00101543"/>
    <w:rsid w:val="00101904"/>
    <w:rsid w:val="0011122C"/>
    <w:rsid w:val="001130D3"/>
    <w:rsid w:val="001206C4"/>
    <w:rsid w:val="001222EA"/>
    <w:rsid w:val="00130BDC"/>
    <w:rsid w:val="00134EFF"/>
    <w:rsid w:val="001402A6"/>
    <w:rsid w:val="0014521E"/>
    <w:rsid w:val="00145811"/>
    <w:rsid w:val="00165274"/>
    <w:rsid w:val="001666F6"/>
    <w:rsid w:val="00166C1A"/>
    <w:rsid w:val="001677EB"/>
    <w:rsid w:val="0017051B"/>
    <w:rsid w:val="001708A5"/>
    <w:rsid w:val="00170C9A"/>
    <w:rsid w:val="00174B0E"/>
    <w:rsid w:val="0017531D"/>
    <w:rsid w:val="00190C24"/>
    <w:rsid w:val="00192633"/>
    <w:rsid w:val="001A4217"/>
    <w:rsid w:val="001A5FEC"/>
    <w:rsid w:val="001A6E69"/>
    <w:rsid w:val="001B41A8"/>
    <w:rsid w:val="001C11D2"/>
    <w:rsid w:val="001C43F0"/>
    <w:rsid w:val="001C71ED"/>
    <w:rsid w:val="001D00ED"/>
    <w:rsid w:val="001E4C77"/>
    <w:rsid w:val="001F0BC8"/>
    <w:rsid w:val="001F202F"/>
    <w:rsid w:val="001F2B12"/>
    <w:rsid w:val="001F3A36"/>
    <w:rsid w:val="001F5DC4"/>
    <w:rsid w:val="00202872"/>
    <w:rsid w:val="00215203"/>
    <w:rsid w:val="0022510C"/>
    <w:rsid w:val="00225207"/>
    <w:rsid w:val="00226A2D"/>
    <w:rsid w:val="00227C27"/>
    <w:rsid w:val="0023639A"/>
    <w:rsid w:val="0023695A"/>
    <w:rsid w:val="002371F7"/>
    <w:rsid w:val="0024520B"/>
    <w:rsid w:val="00253FE9"/>
    <w:rsid w:val="002706E8"/>
    <w:rsid w:val="00273E87"/>
    <w:rsid w:val="00275227"/>
    <w:rsid w:val="00297310"/>
    <w:rsid w:val="002A117F"/>
    <w:rsid w:val="002B0623"/>
    <w:rsid w:val="002B15E5"/>
    <w:rsid w:val="002B5219"/>
    <w:rsid w:val="002B7607"/>
    <w:rsid w:val="002C47FC"/>
    <w:rsid w:val="002E1DBE"/>
    <w:rsid w:val="002E3E34"/>
    <w:rsid w:val="002E69F4"/>
    <w:rsid w:val="002F5DAD"/>
    <w:rsid w:val="002F78A2"/>
    <w:rsid w:val="003002C5"/>
    <w:rsid w:val="00302021"/>
    <w:rsid w:val="00304053"/>
    <w:rsid w:val="0030771F"/>
    <w:rsid w:val="00307CFB"/>
    <w:rsid w:val="00320670"/>
    <w:rsid w:val="0033796F"/>
    <w:rsid w:val="00337EAA"/>
    <w:rsid w:val="00346A54"/>
    <w:rsid w:val="00347688"/>
    <w:rsid w:val="00347DBD"/>
    <w:rsid w:val="00347ED1"/>
    <w:rsid w:val="00355E78"/>
    <w:rsid w:val="00364194"/>
    <w:rsid w:val="00371CF4"/>
    <w:rsid w:val="00373316"/>
    <w:rsid w:val="00376AC3"/>
    <w:rsid w:val="0038096F"/>
    <w:rsid w:val="00380A39"/>
    <w:rsid w:val="00385A56"/>
    <w:rsid w:val="00396D5E"/>
    <w:rsid w:val="003975D2"/>
    <w:rsid w:val="003B2561"/>
    <w:rsid w:val="003B5002"/>
    <w:rsid w:val="003C33FE"/>
    <w:rsid w:val="003C3B4B"/>
    <w:rsid w:val="003C60A7"/>
    <w:rsid w:val="003D33F7"/>
    <w:rsid w:val="003D3700"/>
    <w:rsid w:val="003D540F"/>
    <w:rsid w:val="003E0C5B"/>
    <w:rsid w:val="003E4E0D"/>
    <w:rsid w:val="003E5743"/>
    <w:rsid w:val="003E5C52"/>
    <w:rsid w:val="003F2DE3"/>
    <w:rsid w:val="003F643A"/>
    <w:rsid w:val="00402CFC"/>
    <w:rsid w:val="00403EF1"/>
    <w:rsid w:val="00404BCA"/>
    <w:rsid w:val="004164DD"/>
    <w:rsid w:val="00416A49"/>
    <w:rsid w:val="0042343D"/>
    <w:rsid w:val="0043708D"/>
    <w:rsid w:val="00442227"/>
    <w:rsid w:val="00442FE1"/>
    <w:rsid w:val="00443D28"/>
    <w:rsid w:val="004468D2"/>
    <w:rsid w:val="004528A5"/>
    <w:rsid w:val="004557EF"/>
    <w:rsid w:val="004562DA"/>
    <w:rsid w:val="00466A8E"/>
    <w:rsid w:val="00476A07"/>
    <w:rsid w:val="00476B5A"/>
    <w:rsid w:val="00487D7D"/>
    <w:rsid w:val="004A5E19"/>
    <w:rsid w:val="004B0483"/>
    <w:rsid w:val="004B6183"/>
    <w:rsid w:val="004D4026"/>
    <w:rsid w:val="004D6771"/>
    <w:rsid w:val="004E5A25"/>
    <w:rsid w:val="004E62A1"/>
    <w:rsid w:val="004F3D46"/>
    <w:rsid w:val="00506DE9"/>
    <w:rsid w:val="005103B8"/>
    <w:rsid w:val="00513243"/>
    <w:rsid w:val="00517376"/>
    <w:rsid w:val="00537DA7"/>
    <w:rsid w:val="00540992"/>
    <w:rsid w:val="005429BF"/>
    <w:rsid w:val="00543A32"/>
    <w:rsid w:val="00555585"/>
    <w:rsid w:val="0055582F"/>
    <w:rsid w:val="00555C3B"/>
    <w:rsid w:val="00567544"/>
    <w:rsid w:val="005727FA"/>
    <w:rsid w:val="0057355E"/>
    <w:rsid w:val="00574F42"/>
    <w:rsid w:val="00585BF1"/>
    <w:rsid w:val="00587261"/>
    <w:rsid w:val="00590305"/>
    <w:rsid w:val="005936D0"/>
    <w:rsid w:val="00594022"/>
    <w:rsid w:val="0059437F"/>
    <w:rsid w:val="005A28EB"/>
    <w:rsid w:val="005B0EC5"/>
    <w:rsid w:val="005B409F"/>
    <w:rsid w:val="005B79A8"/>
    <w:rsid w:val="005C13AA"/>
    <w:rsid w:val="005C14A0"/>
    <w:rsid w:val="005C3B73"/>
    <w:rsid w:val="005C68D9"/>
    <w:rsid w:val="005E7889"/>
    <w:rsid w:val="005F1A6F"/>
    <w:rsid w:val="005F3B25"/>
    <w:rsid w:val="005F4331"/>
    <w:rsid w:val="005F6D52"/>
    <w:rsid w:val="005F7B6D"/>
    <w:rsid w:val="00601CC6"/>
    <w:rsid w:val="0061270D"/>
    <w:rsid w:val="00614199"/>
    <w:rsid w:val="0062040F"/>
    <w:rsid w:val="006239A5"/>
    <w:rsid w:val="006339CD"/>
    <w:rsid w:val="00636B71"/>
    <w:rsid w:val="006420CC"/>
    <w:rsid w:val="00642CDC"/>
    <w:rsid w:val="00646AE8"/>
    <w:rsid w:val="00661670"/>
    <w:rsid w:val="00664A9F"/>
    <w:rsid w:val="00672747"/>
    <w:rsid w:val="00681773"/>
    <w:rsid w:val="0068756E"/>
    <w:rsid w:val="006A380E"/>
    <w:rsid w:val="006A44F3"/>
    <w:rsid w:val="006B258A"/>
    <w:rsid w:val="006B4EC5"/>
    <w:rsid w:val="006B675A"/>
    <w:rsid w:val="006C3D8E"/>
    <w:rsid w:val="006C54B2"/>
    <w:rsid w:val="006C619B"/>
    <w:rsid w:val="006D0BCD"/>
    <w:rsid w:val="006E1C19"/>
    <w:rsid w:val="006E25A0"/>
    <w:rsid w:val="006E2A4A"/>
    <w:rsid w:val="006F0011"/>
    <w:rsid w:val="006F19AC"/>
    <w:rsid w:val="006F5038"/>
    <w:rsid w:val="006F5CFC"/>
    <w:rsid w:val="00724AA3"/>
    <w:rsid w:val="007274E7"/>
    <w:rsid w:val="00731F90"/>
    <w:rsid w:val="007347F0"/>
    <w:rsid w:val="00735205"/>
    <w:rsid w:val="00736DC7"/>
    <w:rsid w:val="00743CEA"/>
    <w:rsid w:val="00752F0E"/>
    <w:rsid w:val="00754436"/>
    <w:rsid w:val="00755B6D"/>
    <w:rsid w:val="0075625A"/>
    <w:rsid w:val="007653DE"/>
    <w:rsid w:val="00765B7F"/>
    <w:rsid w:val="0076604F"/>
    <w:rsid w:val="0076714C"/>
    <w:rsid w:val="0076759E"/>
    <w:rsid w:val="007A0A13"/>
    <w:rsid w:val="007B4E7E"/>
    <w:rsid w:val="007B7AD8"/>
    <w:rsid w:val="007D023E"/>
    <w:rsid w:val="007D0BEA"/>
    <w:rsid w:val="007D2087"/>
    <w:rsid w:val="007D3462"/>
    <w:rsid w:val="007E722C"/>
    <w:rsid w:val="007F4AAA"/>
    <w:rsid w:val="007F77CF"/>
    <w:rsid w:val="008053E4"/>
    <w:rsid w:val="0080579A"/>
    <w:rsid w:val="00807B26"/>
    <w:rsid w:val="0081492B"/>
    <w:rsid w:val="008171D4"/>
    <w:rsid w:val="0081740A"/>
    <w:rsid w:val="00821476"/>
    <w:rsid w:val="0083235D"/>
    <w:rsid w:val="00834179"/>
    <w:rsid w:val="00841670"/>
    <w:rsid w:val="0084602D"/>
    <w:rsid w:val="00852BD5"/>
    <w:rsid w:val="00854616"/>
    <w:rsid w:val="00864110"/>
    <w:rsid w:val="008641E2"/>
    <w:rsid w:val="00873C6C"/>
    <w:rsid w:val="0088002B"/>
    <w:rsid w:val="0088190A"/>
    <w:rsid w:val="00882017"/>
    <w:rsid w:val="00887757"/>
    <w:rsid w:val="00887A49"/>
    <w:rsid w:val="008A1011"/>
    <w:rsid w:val="008A4FA7"/>
    <w:rsid w:val="008A7AFC"/>
    <w:rsid w:val="008C0739"/>
    <w:rsid w:val="008D11EF"/>
    <w:rsid w:val="008D4447"/>
    <w:rsid w:val="008D7B24"/>
    <w:rsid w:val="008D7D00"/>
    <w:rsid w:val="008F11B6"/>
    <w:rsid w:val="008F54B6"/>
    <w:rsid w:val="008F60DA"/>
    <w:rsid w:val="00907963"/>
    <w:rsid w:val="00913302"/>
    <w:rsid w:val="009222D8"/>
    <w:rsid w:val="00922F5C"/>
    <w:rsid w:val="00931647"/>
    <w:rsid w:val="00936034"/>
    <w:rsid w:val="00936613"/>
    <w:rsid w:val="00944907"/>
    <w:rsid w:val="009459AC"/>
    <w:rsid w:val="009560B6"/>
    <w:rsid w:val="00956995"/>
    <w:rsid w:val="0096078C"/>
    <w:rsid w:val="00965761"/>
    <w:rsid w:val="0096595E"/>
    <w:rsid w:val="009659AB"/>
    <w:rsid w:val="00982374"/>
    <w:rsid w:val="00985A80"/>
    <w:rsid w:val="00986915"/>
    <w:rsid w:val="00986C86"/>
    <w:rsid w:val="009A271C"/>
    <w:rsid w:val="009A5056"/>
    <w:rsid w:val="009A7275"/>
    <w:rsid w:val="009B21D4"/>
    <w:rsid w:val="009B2F99"/>
    <w:rsid w:val="009B5A87"/>
    <w:rsid w:val="009B7893"/>
    <w:rsid w:val="009C15B2"/>
    <w:rsid w:val="009D296F"/>
    <w:rsid w:val="009D7740"/>
    <w:rsid w:val="009E28CB"/>
    <w:rsid w:val="009E5EE5"/>
    <w:rsid w:val="009F02B3"/>
    <w:rsid w:val="009F0DD9"/>
    <w:rsid w:val="009F2546"/>
    <w:rsid w:val="00A25FB3"/>
    <w:rsid w:val="00A31835"/>
    <w:rsid w:val="00A33082"/>
    <w:rsid w:val="00A36618"/>
    <w:rsid w:val="00A37A8D"/>
    <w:rsid w:val="00A40883"/>
    <w:rsid w:val="00A47F67"/>
    <w:rsid w:val="00A5193F"/>
    <w:rsid w:val="00A60201"/>
    <w:rsid w:val="00A65710"/>
    <w:rsid w:val="00A712F1"/>
    <w:rsid w:val="00A71F51"/>
    <w:rsid w:val="00A86680"/>
    <w:rsid w:val="00AA2D6D"/>
    <w:rsid w:val="00AA7513"/>
    <w:rsid w:val="00AB0A25"/>
    <w:rsid w:val="00AC0A56"/>
    <w:rsid w:val="00AC4672"/>
    <w:rsid w:val="00AC555D"/>
    <w:rsid w:val="00AC73A9"/>
    <w:rsid w:val="00AD1DD5"/>
    <w:rsid w:val="00AD2501"/>
    <w:rsid w:val="00AD4874"/>
    <w:rsid w:val="00AD5F26"/>
    <w:rsid w:val="00AD77E9"/>
    <w:rsid w:val="00AE022D"/>
    <w:rsid w:val="00AE0E03"/>
    <w:rsid w:val="00AF085E"/>
    <w:rsid w:val="00AF3354"/>
    <w:rsid w:val="00AF63EE"/>
    <w:rsid w:val="00AF7DD9"/>
    <w:rsid w:val="00B04635"/>
    <w:rsid w:val="00B07ECF"/>
    <w:rsid w:val="00B11A31"/>
    <w:rsid w:val="00B21DB9"/>
    <w:rsid w:val="00B23FA2"/>
    <w:rsid w:val="00B27B37"/>
    <w:rsid w:val="00B3007C"/>
    <w:rsid w:val="00B30EA8"/>
    <w:rsid w:val="00B33337"/>
    <w:rsid w:val="00B37556"/>
    <w:rsid w:val="00B421CD"/>
    <w:rsid w:val="00B43559"/>
    <w:rsid w:val="00B47AB8"/>
    <w:rsid w:val="00B55032"/>
    <w:rsid w:val="00B57101"/>
    <w:rsid w:val="00B57E79"/>
    <w:rsid w:val="00B613E4"/>
    <w:rsid w:val="00B70170"/>
    <w:rsid w:val="00B77F19"/>
    <w:rsid w:val="00B8699D"/>
    <w:rsid w:val="00B9593D"/>
    <w:rsid w:val="00B95BBB"/>
    <w:rsid w:val="00B9771E"/>
    <w:rsid w:val="00BA06D2"/>
    <w:rsid w:val="00BA114D"/>
    <w:rsid w:val="00BB5E0E"/>
    <w:rsid w:val="00BC4AA9"/>
    <w:rsid w:val="00BC51B8"/>
    <w:rsid w:val="00BC6556"/>
    <w:rsid w:val="00BD0F68"/>
    <w:rsid w:val="00BD187D"/>
    <w:rsid w:val="00BD2420"/>
    <w:rsid w:val="00BD2974"/>
    <w:rsid w:val="00BF2C3B"/>
    <w:rsid w:val="00BF3395"/>
    <w:rsid w:val="00C04010"/>
    <w:rsid w:val="00C07E26"/>
    <w:rsid w:val="00C10C87"/>
    <w:rsid w:val="00C23204"/>
    <w:rsid w:val="00C26CF7"/>
    <w:rsid w:val="00C30028"/>
    <w:rsid w:val="00C31759"/>
    <w:rsid w:val="00C32411"/>
    <w:rsid w:val="00C32752"/>
    <w:rsid w:val="00C33A93"/>
    <w:rsid w:val="00C413E8"/>
    <w:rsid w:val="00C44716"/>
    <w:rsid w:val="00C51A70"/>
    <w:rsid w:val="00C51D08"/>
    <w:rsid w:val="00C52240"/>
    <w:rsid w:val="00C524F6"/>
    <w:rsid w:val="00C74AC4"/>
    <w:rsid w:val="00C90A78"/>
    <w:rsid w:val="00C91452"/>
    <w:rsid w:val="00C96183"/>
    <w:rsid w:val="00CA5FBB"/>
    <w:rsid w:val="00CA66DC"/>
    <w:rsid w:val="00CB07AD"/>
    <w:rsid w:val="00CB609F"/>
    <w:rsid w:val="00CB799D"/>
    <w:rsid w:val="00CC1256"/>
    <w:rsid w:val="00CC1A4C"/>
    <w:rsid w:val="00CC7632"/>
    <w:rsid w:val="00CD57A1"/>
    <w:rsid w:val="00CD66EB"/>
    <w:rsid w:val="00CD793C"/>
    <w:rsid w:val="00D01CD2"/>
    <w:rsid w:val="00D13431"/>
    <w:rsid w:val="00D23470"/>
    <w:rsid w:val="00D3677C"/>
    <w:rsid w:val="00D41DF0"/>
    <w:rsid w:val="00D517CD"/>
    <w:rsid w:val="00D62FD4"/>
    <w:rsid w:val="00D65C8D"/>
    <w:rsid w:val="00D75050"/>
    <w:rsid w:val="00D842DF"/>
    <w:rsid w:val="00D919CA"/>
    <w:rsid w:val="00D94442"/>
    <w:rsid w:val="00D94DCE"/>
    <w:rsid w:val="00DB219B"/>
    <w:rsid w:val="00DB36D4"/>
    <w:rsid w:val="00DB5025"/>
    <w:rsid w:val="00DC5E03"/>
    <w:rsid w:val="00DD1A56"/>
    <w:rsid w:val="00DD5973"/>
    <w:rsid w:val="00DE1E49"/>
    <w:rsid w:val="00DE222E"/>
    <w:rsid w:val="00DE480C"/>
    <w:rsid w:val="00DE5B93"/>
    <w:rsid w:val="00DF2836"/>
    <w:rsid w:val="00DF3C67"/>
    <w:rsid w:val="00DF642E"/>
    <w:rsid w:val="00E11756"/>
    <w:rsid w:val="00E16951"/>
    <w:rsid w:val="00E3336E"/>
    <w:rsid w:val="00E350EC"/>
    <w:rsid w:val="00E363BF"/>
    <w:rsid w:val="00E41CC8"/>
    <w:rsid w:val="00E42000"/>
    <w:rsid w:val="00E441D6"/>
    <w:rsid w:val="00E46FDC"/>
    <w:rsid w:val="00E47FB8"/>
    <w:rsid w:val="00E53BA4"/>
    <w:rsid w:val="00E64452"/>
    <w:rsid w:val="00E677A3"/>
    <w:rsid w:val="00E8348A"/>
    <w:rsid w:val="00E85BD2"/>
    <w:rsid w:val="00E872C5"/>
    <w:rsid w:val="00E8784A"/>
    <w:rsid w:val="00E9129D"/>
    <w:rsid w:val="00EA2787"/>
    <w:rsid w:val="00EA2EFC"/>
    <w:rsid w:val="00EB62A0"/>
    <w:rsid w:val="00EC48F8"/>
    <w:rsid w:val="00ED0541"/>
    <w:rsid w:val="00EE316E"/>
    <w:rsid w:val="00EE3538"/>
    <w:rsid w:val="00EE687E"/>
    <w:rsid w:val="00EF474F"/>
    <w:rsid w:val="00EF4AC5"/>
    <w:rsid w:val="00EF58EE"/>
    <w:rsid w:val="00F02A8C"/>
    <w:rsid w:val="00F16076"/>
    <w:rsid w:val="00F16981"/>
    <w:rsid w:val="00F20B18"/>
    <w:rsid w:val="00F228C8"/>
    <w:rsid w:val="00F34743"/>
    <w:rsid w:val="00F35742"/>
    <w:rsid w:val="00F3619E"/>
    <w:rsid w:val="00F367B3"/>
    <w:rsid w:val="00F3777E"/>
    <w:rsid w:val="00F37CA9"/>
    <w:rsid w:val="00F409D7"/>
    <w:rsid w:val="00F43573"/>
    <w:rsid w:val="00F447A2"/>
    <w:rsid w:val="00F4655D"/>
    <w:rsid w:val="00F47F6C"/>
    <w:rsid w:val="00F51BDE"/>
    <w:rsid w:val="00F537DC"/>
    <w:rsid w:val="00F565A5"/>
    <w:rsid w:val="00F639D4"/>
    <w:rsid w:val="00F64ECE"/>
    <w:rsid w:val="00F66BEC"/>
    <w:rsid w:val="00F743B5"/>
    <w:rsid w:val="00F87745"/>
    <w:rsid w:val="00F94FC7"/>
    <w:rsid w:val="00F95A0F"/>
    <w:rsid w:val="00F9623A"/>
    <w:rsid w:val="00FA1791"/>
    <w:rsid w:val="00FA4515"/>
    <w:rsid w:val="00FA47EF"/>
    <w:rsid w:val="00FC6066"/>
    <w:rsid w:val="00FC623F"/>
    <w:rsid w:val="00FC63E6"/>
    <w:rsid w:val="00FD5B33"/>
    <w:rsid w:val="00FE1554"/>
    <w:rsid w:val="00FE6C82"/>
    <w:rsid w:val="00FF1155"/>
    <w:rsid w:val="00FF2020"/>
    <w:rsid w:val="00FF512F"/>
    <w:rsid w:val="00FF61CC"/>
    <w:rsid w:val="00FF696B"/>
    <w:rsid w:val="00FF716A"/>
    <w:rsid w:val="00FF7B1C"/>
    <w:rsid w:val="1510357C"/>
    <w:rsid w:val="2CB709EE"/>
    <w:rsid w:val="401DB37C"/>
    <w:rsid w:val="54483DD3"/>
    <w:rsid w:val="7D9A16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EBB4"/>
  <w15:chartTrackingRefBased/>
  <w15:docId w15:val="{CD6CF6CF-63B1-4549-8DD8-32C6549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1666F6"/>
    <w:pPr>
      <w:widowControl w:val="0"/>
      <w:suppressAutoHyphens/>
      <w:autoSpaceDE w:val="0"/>
      <w:autoSpaceDN w:val="0"/>
      <w:adjustRightInd w:val="0"/>
      <w:spacing w:before="12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1666F6"/>
    <w:pPr>
      <w:spacing w:before="120"/>
      <w:ind w:left="357" w:hanging="357"/>
      <w:outlineLvl w:val="1"/>
    </w:pPr>
    <w:rPr>
      <w:rFonts w:cs="Arial"/>
      <w:b/>
      <w:bCs/>
      <w:sz w:val="32"/>
      <w:szCs w:val="40"/>
    </w:rPr>
  </w:style>
  <w:style w:type="paragraph" w:styleId="Heading3">
    <w:name w:val="heading 3"/>
    <w:basedOn w:val="Normal"/>
    <w:next w:val="Normal"/>
    <w:link w:val="Heading3Char"/>
    <w:autoRedefine/>
    <w:uiPriority w:val="9"/>
    <w:unhideWhenUsed/>
    <w:qFormat/>
    <w:rsid w:val="001666F6"/>
    <w:pPr>
      <w:spacing w:before="120"/>
      <w:outlineLvl w:val="2"/>
    </w:pPr>
    <w:rPr>
      <w:rFonts w:cs="Arial"/>
      <w:bCs/>
      <w:sz w:val="28"/>
      <w:szCs w:val="28"/>
    </w:rPr>
  </w:style>
  <w:style w:type="paragraph" w:styleId="Heading4">
    <w:name w:val="heading 4"/>
    <w:basedOn w:val="Normal"/>
    <w:next w:val="Normal"/>
    <w:link w:val="Heading4Char"/>
    <w:autoRedefine/>
    <w:uiPriority w:val="9"/>
    <w:unhideWhenUsed/>
    <w:qFormat/>
    <w:rsid w:val="001666F6"/>
    <w:pPr>
      <w:spacing w:before="120"/>
      <w:outlineLvl w:val="3"/>
    </w:pPr>
    <w:rPr>
      <w:rFonts w:ascii="Noto Serif" w:hAnsi="Noto Serif" w:cs="Arial"/>
      <w:bCs/>
      <w:i/>
      <w:iCs/>
      <w:sz w:val="32"/>
      <w:szCs w:val="20"/>
    </w:rPr>
  </w:style>
  <w:style w:type="paragraph" w:styleId="Heading5">
    <w:name w:val="heading 5"/>
    <w:basedOn w:val="Normal"/>
    <w:next w:val="Normal"/>
    <w:link w:val="Heading5Char"/>
    <w:uiPriority w:val="9"/>
    <w:unhideWhenUsed/>
    <w:qFormat/>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666F6"/>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1666F6"/>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1666F6"/>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1666F6"/>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qFormat/>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FD5B33"/>
    <w:rPr>
      <w:color w:val="0563C1" w:themeColor="hyperlink"/>
      <w:u w:val="single"/>
    </w:rPr>
  </w:style>
  <w:style w:type="paragraph" w:styleId="TOCHeading">
    <w:name w:val="TOC Heading"/>
    <w:basedOn w:val="Heading1"/>
    <w:next w:val="Normal"/>
    <w:uiPriority w:val="39"/>
    <w:unhideWhenUsed/>
    <w:qFormat/>
    <w:rsid w:val="000E0467"/>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qFormat/>
    <w:rsid w:val="000E0467"/>
    <w:pPr>
      <w:spacing w:after="100"/>
    </w:pPr>
  </w:style>
  <w:style w:type="paragraph" w:styleId="TOC3">
    <w:name w:val="toc 3"/>
    <w:basedOn w:val="Normal"/>
    <w:next w:val="Normal"/>
    <w:autoRedefine/>
    <w:uiPriority w:val="39"/>
    <w:unhideWhenUsed/>
    <w:qFormat/>
    <w:rsid w:val="000E0467"/>
    <w:pPr>
      <w:spacing w:after="100"/>
      <w:ind w:left="400"/>
    </w:pPr>
  </w:style>
  <w:style w:type="paragraph" w:styleId="TOC2">
    <w:name w:val="toc 2"/>
    <w:basedOn w:val="Normal"/>
    <w:next w:val="Normal"/>
    <w:autoRedefine/>
    <w:uiPriority w:val="39"/>
    <w:unhideWhenUsed/>
    <w:qFormat/>
    <w:rsid w:val="000E0467"/>
    <w:pPr>
      <w:spacing w:after="100"/>
      <w:ind w:left="200"/>
    </w:pPr>
  </w:style>
  <w:style w:type="character" w:styleId="CommentReference">
    <w:name w:val="annotation reference"/>
    <w:basedOn w:val="DefaultParagraphFont"/>
    <w:unhideWhenUsed/>
    <w:rsid w:val="00BF2C3B"/>
    <w:rPr>
      <w:sz w:val="16"/>
      <w:szCs w:val="16"/>
    </w:rPr>
  </w:style>
  <w:style w:type="paragraph" w:styleId="CommentText">
    <w:name w:val="annotation text"/>
    <w:basedOn w:val="Normal"/>
    <w:link w:val="CommentTextChar"/>
    <w:unhideWhenUsed/>
    <w:rsid w:val="00BF2C3B"/>
    <w:pPr>
      <w:spacing w:after="160"/>
    </w:pPr>
    <w:rPr>
      <w:rFonts w:eastAsiaTheme="minorHAnsi"/>
      <w:szCs w:val="20"/>
    </w:rPr>
  </w:style>
  <w:style w:type="character" w:customStyle="1" w:styleId="CommentTextChar">
    <w:name w:val="Comment Text Char"/>
    <w:basedOn w:val="DefaultParagraphFont"/>
    <w:link w:val="CommentText"/>
    <w:rsid w:val="00BF2C3B"/>
    <w:rPr>
      <w:rFonts w:ascii="Arial" w:hAnsi="Arial"/>
      <w:sz w:val="20"/>
      <w:szCs w:val="20"/>
    </w:rPr>
  </w:style>
  <w:style w:type="paragraph" w:styleId="FootnoteText">
    <w:name w:val="footnote text"/>
    <w:basedOn w:val="Normal"/>
    <w:link w:val="FootnoteTextChar"/>
    <w:uiPriority w:val="99"/>
    <w:unhideWhenUsed/>
    <w:rsid w:val="00BF2C3B"/>
    <w:pPr>
      <w:spacing w:after="0"/>
    </w:pPr>
    <w:rPr>
      <w:rFonts w:eastAsiaTheme="minorHAnsi"/>
      <w:szCs w:val="20"/>
    </w:rPr>
  </w:style>
  <w:style w:type="character" w:customStyle="1" w:styleId="FootnoteTextChar">
    <w:name w:val="Footnote Text Char"/>
    <w:basedOn w:val="DefaultParagraphFont"/>
    <w:link w:val="FootnoteText"/>
    <w:uiPriority w:val="99"/>
    <w:rsid w:val="00BF2C3B"/>
    <w:rPr>
      <w:rFonts w:ascii="Arial" w:hAnsi="Arial"/>
      <w:sz w:val="20"/>
      <w:szCs w:val="20"/>
    </w:rPr>
  </w:style>
  <w:style w:type="character" w:styleId="FootnoteReference">
    <w:name w:val="footnote reference"/>
    <w:basedOn w:val="DefaultParagraphFont"/>
    <w:uiPriority w:val="99"/>
    <w:semiHidden/>
    <w:unhideWhenUsed/>
    <w:rsid w:val="00BF2C3B"/>
    <w:rPr>
      <w:vertAlign w:val="superscript"/>
    </w:rPr>
  </w:style>
  <w:style w:type="character" w:customStyle="1" w:styleId="normaltextrun">
    <w:name w:val="normaltextrun"/>
    <w:basedOn w:val="DefaultParagraphFont"/>
    <w:rsid w:val="00BF2C3B"/>
  </w:style>
  <w:style w:type="character" w:customStyle="1" w:styleId="eop">
    <w:name w:val="eop"/>
    <w:basedOn w:val="DefaultParagraphFont"/>
    <w:rsid w:val="00BF2C3B"/>
  </w:style>
  <w:style w:type="character" w:styleId="UnresolvedMention">
    <w:name w:val="Unresolved Mention"/>
    <w:basedOn w:val="DefaultParagraphFont"/>
    <w:uiPriority w:val="99"/>
    <w:rsid w:val="00BF2C3B"/>
    <w:rPr>
      <w:color w:val="605E5C"/>
      <w:shd w:val="clear" w:color="auto" w:fill="E1DFDD"/>
    </w:rPr>
  </w:style>
  <w:style w:type="character" w:styleId="FollowedHyperlink">
    <w:name w:val="FollowedHyperlink"/>
    <w:basedOn w:val="DefaultParagraphFont"/>
    <w:uiPriority w:val="99"/>
    <w:semiHidden/>
    <w:unhideWhenUsed/>
    <w:rsid w:val="00C96183"/>
    <w:rPr>
      <w:color w:val="954F72" w:themeColor="followedHyperlink"/>
      <w:u w:val="single"/>
    </w:rPr>
  </w:style>
  <w:style w:type="paragraph" w:styleId="Revision">
    <w:name w:val="Revision"/>
    <w:hidden/>
    <w:uiPriority w:val="99"/>
    <w:semiHidden/>
    <w:rsid w:val="00275227"/>
    <w:rPr>
      <w:rFonts w:ascii="Arial" w:eastAsiaTheme="minorEastAsia" w:hAnsi="Arial"/>
      <w:sz w:val="20"/>
    </w:r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02208D"/>
    <w:rPr>
      <w:rFonts w:ascii="Arial" w:eastAsiaTheme="minorEastAsia" w:hAnsi="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org/disabilities/documents/convention/convoptprot-e.pdf" TargetMode="External"/><Relationship Id="rId21" Type="http://schemas.openxmlformats.org/officeDocument/2006/relationships/hyperlink" Target="https://qdn.org.au/qld-disability-co-design-strategy" TargetMode="External"/><Relationship Id="rId34" Type="http://schemas.openxmlformats.org/officeDocument/2006/relationships/hyperlink" Target="https://aus01.safelinks.protection.outlook.com/?url=https%3A%2F%2Fwww.google.com%2Furl%3Fsa%3Dt%26rct%3Dj%26q%3D%26esrc%3Ds%26source%3Dweb%26cd%3D%26cad%3Drja%26uact%3D8%26ved%3D2ahUKEwjRhr7Uk7CJAxUzn2MGHfKmC20QFnoECBsQAQ%26url%3Dhttps%253A%252F%252Fwww.qld.gov.au%252Fdisability%252Flegal-and-rights%252Fadvocacy%26usg%3DAOvVaw2jPxinCvRy9cVO8zktVo0V%26opi%3D89978449&amp;data=05%7C02%7CAbbie.Frith%40dsdsatsip.qld.gov.au%7C5787070368644682e8b008dcf8710db2%7C95b907c2752b485088ad86939ce522f0%7C0%7C0%7C638658413350942363%7CUnknown%7CTWFpbGZsb3d8eyJWIjoiMC4wLjAwMDAiLCJQIjoiV2luMzIiLCJBTiI6Ik1haWwiLCJXVCI6Mn0%3D%7C0%7C%7C%7C&amp;sdata=JG9pVvt1m9uLJlX0teUlXXsII94rAldHK9x1Bze2Df0%3D&amp;reserved=0" TargetMode="External"/><Relationship Id="rId42" Type="http://schemas.openxmlformats.org/officeDocument/2006/relationships/hyperlink" Target="https://www.forgov.qld.gov.au/information-technology/queensland-government-enterprise-architecture-qgea/qgea-directions-and-guidance/qgea-policies-standards-and-guidelines/digital-service-standard" TargetMode="External"/><Relationship Id="rId47" Type="http://schemas.openxmlformats.org/officeDocument/2006/relationships/hyperlink" Target="https://humanrights.gov.au/complaints" TargetMode="External"/><Relationship Id="rId50" Type="http://schemas.openxmlformats.org/officeDocument/2006/relationships/hyperlink" Target="https://humanrights.gov.au/our-work/disability-rights/guides" TargetMode="External"/><Relationship Id="rId55" Type="http://schemas.openxmlformats.org/officeDocument/2006/relationships/hyperlink" Target="https://www.families.qld.gov.au/our-work/disability-service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umanrights.gov.au/know-your-rights/rights-of-individuals/disability-rights/guides,-tools-and-resources/standards-and-guidelines-under-the-disability-discrimination-act" TargetMode="External"/><Relationship Id="rId29" Type="http://schemas.openxmlformats.org/officeDocument/2006/relationships/hyperlink" Target="https://www.forgov.qld.gov.au/information-technology/queensland-government-enterprise-architecture-qgea/qgea-directions-and-guidance/qgea-policies-standards-and-guidelines/digital-service-standard" TargetMode="External"/><Relationship Id="rId11" Type="http://schemas.openxmlformats.org/officeDocument/2006/relationships/image" Target="media/image1.emf"/><Relationship Id="rId24" Type="http://schemas.openxmlformats.org/officeDocument/2006/relationships/hyperlink" Target="https://www.forgov.qld.gov.au/service-design-and-delivery/design-public-services/digital-accessibility/digital-accessibility-in-queensland" TargetMode="External"/><Relationship Id="rId32" Type="http://schemas.openxmlformats.org/officeDocument/2006/relationships/hyperlink" Target="https://aus01.safelinks.protection.outlook.com/?url=https%3A%2F%2Fwww.disabilitygateway.gov.au%2Fgood-practice-guidelines&amp;data=05%7C02%7CAbbie.Frith%40dsdsatsip.qld.gov.au%7C5787070368644682e8b008dcf8710db2%7C95b907c2752b485088ad86939ce522f0%7C0%7C0%7C638658413350903829%7CUnknown%7CTWFpbGZsb3d8eyJWIjoiMC4wLjAwMDAiLCJQIjoiV2luMzIiLCJBTiI6Ik1haWwiLCJXVCI6Mn0%3D%7C0%7C%7C%7C&amp;sdata=%2By4cqegNsdXA8q3ExWJMBTs1J1U9FIsHCqlWQUI1fDg%3D&amp;reserved=0" TargetMode="External"/><Relationship Id="rId37" Type="http://schemas.openxmlformats.org/officeDocument/2006/relationships/hyperlink" Target="https://www.humanrights.gov.au/our-work/legal/exemptions" TargetMode="External"/><Relationship Id="rId40" Type="http://schemas.openxmlformats.org/officeDocument/2006/relationships/hyperlink" Target="https://humanrights.gov.au/resource-hub/by-resource-type/publications/disability-rights/policy-reports-disability/guidelines-targeted-recruitment-people-disability" TargetMode="External"/><Relationship Id="rId45" Type="http://schemas.openxmlformats.org/officeDocument/2006/relationships/hyperlink" Target="https://www.qhrc.qld.gov.au/complaints" TargetMode="External"/><Relationship Id="rId53" Type="http://schemas.openxmlformats.org/officeDocument/2006/relationships/hyperlink" Target="https://www.humanrights.gov.au/our-work/employers/good-practice-good-business-factsheets" TargetMode="External"/><Relationship Id="rId58" Type="http://schemas.openxmlformats.org/officeDocument/2006/relationships/hyperlink" Target="mailto:Skills2Procure@hpw.qld.gov.au"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dcssds.qld.gov.au/our-work/disability-services/disability-royal-commission" TargetMode="Externa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s://ade.org.au/what-are-ades" TargetMode="External"/><Relationship Id="rId27" Type="http://schemas.openxmlformats.org/officeDocument/2006/relationships/hyperlink" Target="https://www.forgov.qld.gov.au/finance-procurement-and-travel/procurement/understanding-procurement/about-category-management" TargetMode="External"/><Relationship Id="rId30" Type="http://schemas.openxmlformats.org/officeDocument/2006/relationships/hyperlink" Target="https://marketing.govnet.qld.gov.au/events-sponsorship/events.aspx" TargetMode="External"/><Relationship Id="rId35" Type="http://schemas.openxmlformats.org/officeDocument/2006/relationships/hyperlink" Target="https://buyability.org.au/directory/" TargetMode="External"/><Relationship Id="rId43" Type="http://schemas.openxmlformats.org/officeDocument/2006/relationships/hyperlink" Target="https://www.forgov.qld.gov.au/finance-procurement-and-travel/procurement/procurement-resources/manage-a-contract/" TargetMode="External"/><Relationship Id="rId48" Type="http://schemas.openxmlformats.org/officeDocument/2006/relationships/hyperlink" Target="https://australiandisabilitynetwork.org.au/resources/suppliers-and-partners-accessible-procurement/" TargetMode="External"/><Relationship Id="rId56" Type="http://schemas.openxmlformats.org/officeDocument/2006/relationships/hyperlink" Target="https://qdn.org.au/about-qdn/"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humanrights.gov.au/resource-hub/by-resource-type/guidelines-and-standards/guides-and-standards-disability-rights/chapter-3-standards-and-guidelines-digital-accessibility" TargetMode="External"/><Relationship Id="rId3" Type="http://schemas.openxmlformats.org/officeDocument/2006/relationships/customXml" Target="../customXml/item3.xml"/><Relationship Id="rId12" Type="http://schemas.openxmlformats.org/officeDocument/2006/relationships/hyperlink" Target="https://www.arthritis.org.au/" TargetMode="External"/><Relationship Id="rId17" Type="http://schemas.openxmlformats.org/officeDocument/2006/relationships/hyperlink" Target="https://www.legislation.qld.gov.au/view/html/inforce/current/act-2006-012" TargetMode="External"/><Relationship Id="rId25" Type="http://schemas.openxmlformats.org/officeDocument/2006/relationships/hyperlink" Target="https://www.forgov.qld.gov.au/information-technology/queensland-government-enterprise-architecture-qgea/qgea-directions-and-guidance/qgea-policies-standards-and-guidelines/digital-service-standard" TargetMode="External"/><Relationship Id="rId33" Type="http://schemas.openxmlformats.org/officeDocument/2006/relationships/hyperlink" Target="https://aus01.safelinks.protection.outlook.com/?url=https%3A%2F%2Fwww.google.com%2Furl%3Fsa%3Dt%26rct%3Dj%26q%3D%26esrc%3Ds%26source%3Dweb%26cd%3D%26cad%3Drja%26uact%3D8%26ved%3D2ahUKEwi9gv62k7CJAxVzwzgGHSfEGnMQFnoECAgQAQ%26url%3Dhttps%253A%252F%252Fwww.qld.gov.au%252Fdisability%252Fadults%252Fpeak-body-support%26usg%3DAOvVaw2v2Qq3LOkM4AYs1lPNtgqR%26opi%3D89978449&amp;data=05%7C02%7CAbbie.Frith%40dsdsatsip.qld.gov.au%7C5787070368644682e8b008dcf8710db2%7C95b907c2752b485088ad86939ce522f0%7C0%7C0%7C638658413350923399%7CUnknown%7CTWFpbGZsb3d8eyJWIjoiMC4wLjAwMDAiLCJQIjoiV2luMzIiLCJBTiI6Ik1haWwiLCJXVCI6Mn0%3D%7C0%7C%7C%7C&amp;sdata=340B%2B%2F%2FZ4pwIg2Q9s9AdkH5dvVr%2FLJrOQG6OEbB9V%2BE%3D&amp;reserved=0" TargetMode="External"/><Relationship Id="rId38" Type="http://schemas.openxmlformats.org/officeDocument/2006/relationships/hyperlink" Target="https://www.qhrc.qld.gov.au/" TargetMode="External"/><Relationship Id="rId46" Type="http://schemas.openxmlformats.org/officeDocument/2006/relationships/hyperlink" Target="https://www.qcat.qld.gov.au/" TargetMode="External"/><Relationship Id="rId59" Type="http://schemas.openxmlformats.org/officeDocument/2006/relationships/hyperlink" Target="https://humanrights.gov.au/our-work/employers/access-all-improving-accessibility-consumers-disability" TargetMode="External"/><Relationship Id="rId67" Type="http://schemas.openxmlformats.org/officeDocument/2006/relationships/theme" Target="theme/theme1.xml"/><Relationship Id="rId20" Type="http://schemas.openxmlformats.org/officeDocument/2006/relationships/hyperlink" Target="https://www.families.qld.gov.au/our-work/disability-services/australias-disability-strategy-2021-2031" TargetMode="External"/><Relationship Id="rId41" Type="http://schemas.openxmlformats.org/officeDocument/2006/relationships/hyperlink" Target="https://www.forgov.qld.gov.au/service-design-and-delivery/design-public-services/digital-accessibility/digital-accessibility-in-queensland" TargetMode="External"/><Relationship Id="rId54" Type="http://schemas.openxmlformats.org/officeDocument/2006/relationships/hyperlink" Target="https://universaldesign.ie/about-universal-design"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C2004A04426/2018-04-12/text" TargetMode="External"/><Relationship Id="rId23" Type="http://schemas.openxmlformats.org/officeDocument/2006/relationships/hyperlink" Target="https://www.forgov.qld.gov.au/finance-procurement-and-travel/procurement/procurement-resources/procurement-policies-and-frameworks/queensland-government-supplier-code-of-conduct" TargetMode="External"/><Relationship Id="rId28" Type="http://schemas.openxmlformats.org/officeDocument/2006/relationships/hyperlink" Target="https://www.forgov.qld.gov.au/service-design-and-delivery/design-public-services/digital-accessibility/digital-accessibility-in-queensland" TargetMode="External"/><Relationship Id="rId36" Type="http://schemas.openxmlformats.org/officeDocument/2006/relationships/hyperlink" Target="https://www.humanrights.gov.au/" TargetMode="External"/><Relationship Id="rId49" Type="http://schemas.openxmlformats.org/officeDocument/2006/relationships/hyperlink" Target="https://www.dss.gov.au/disability-advocacy/resource/national-standards-disability-services" TargetMode="External"/><Relationship Id="rId57" Type="http://schemas.openxmlformats.org/officeDocument/2006/relationships/hyperlink" Target="https://www.forgov.qld.gov.au/finance-procurement-and-travel/procurement/procurement-capability-and-training/skills2procure-training-programs" TargetMode="External"/><Relationship Id="rId10" Type="http://schemas.openxmlformats.org/officeDocument/2006/relationships/endnotes" Target="endnotes.xml"/><Relationship Id="rId31" Type="http://schemas.openxmlformats.org/officeDocument/2006/relationships/hyperlink" Target="https://www.qld.gov.au/disability/community/awards-events/disability-action-week/accessible-communication" TargetMode="External"/><Relationship Id="rId44" Type="http://schemas.openxmlformats.org/officeDocument/2006/relationships/hyperlink" Target="https://www.forgov.qld.gov.au/finance-procurement-and-travel/procurement/procurement-resources/procurement-guidance" TargetMode="External"/><Relationship Id="rId52" Type="http://schemas.openxmlformats.org/officeDocument/2006/relationships/hyperlink" Target="https://disabilityawareness.com.au/" TargetMode="External"/><Relationship Id="rId60" Type="http://schemas.openxmlformats.org/officeDocument/2006/relationships/hyperlink" Target="https://creativecommons.org/licenses/by/4.0/legalcode"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isabilityawareness.com.au/" TargetMode="External"/><Relationship Id="rId18" Type="http://schemas.openxmlformats.org/officeDocument/2006/relationships/hyperlink" Target="https://www.legislation.qld.gov.au/view/html/inforce/current/act-1991-085" TargetMode="External"/><Relationship Id="rId39" Type="http://schemas.openxmlformats.org/officeDocument/2006/relationships/hyperlink" Target="https://www.qhrc.qld.gov.au/your-rights/discrimination/other-contraven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lcf76f155ced4ddcb4097134ff3c332f xmlns="5ec4e1a3-9465-43a5-9858-85b06e73710c">
      <Terms xmlns="http://schemas.microsoft.com/office/infopath/2007/PartnerControls"/>
    </lcf76f155ced4ddcb4097134ff3c332f>
    <Notes xmlns="5ec4e1a3-9465-43a5-9858-85b06e7371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f442eb348c0619ddfc97c10acb6e2076">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cba3d53868025f9ab731e4986c898106"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0A757297-FF66-4707-928B-EFEADF64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6919</Words>
  <Characters>42276</Characters>
  <Application>Microsoft Office Word</Application>
  <DocSecurity>0</DocSecurity>
  <Lines>845</Lines>
  <Paragraphs>559</Paragraphs>
  <ScaleCrop>false</ScaleCrop>
  <HeadingPairs>
    <vt:vector size="2" baseType="variant">
      <vt:variant>
        <vt:lpstr>Title</vt:lpstr>
      </vt:variant>
      <vt:variant>
        <vt:i4>1</vt:i4>
      </vt:variant>
    </vt:vector>
  </HeadingPairs>
  <TitlesOfParts>
    <vt:vector size="1" baseType="lpstr">
      <vt:lpstr>A4P Document-no-cover-DfQ</vt:lpstr>
    </vt:vector>
  </TitlesOfParts>
  <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in procurement Ensuring accessibility for people with disability guide</dc:title>
  <dc:subject/>
  <dc:creator>Queensland Government</dc:creator>
  <cp:keywords/>
  <dc:description/>
  <cp:lastModifiedBy>Sean Lim</cp:lastModifiedBy>
  <cp:revision>35</cp:revision>
  <cp:lastPrinted>2026-05-05T01:02:00Z</cp:lastPrinted>
  <dcterms:created xsi:type="dcterms:W3CDTF">2026-03-02T04:29:00Z</dcterms:created>
  <dcterms:modified xsi:type="dcterms:W3CDTF">2026-05-05T01:02:00Z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_dlc_DocIdItemGuid">
    <vt:lpwstr>177437fe-fcd7-42fc-a979-86efea21a4c1</vt:lpwstr>
  </property>
  <property fmtid="{D5CDD505-2E9C-101B-9397-08002B2CF9AE}" pid="4" name="MediaServiceImageTags">
    <vt:lpwstr/>
  </property>
</Properties>
</file>