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A46E9" w14:textId="77777777" w:rsidR="006A7BB9" w:rsidRPr="004977CE" w:rsidRDefault="006A7BB9" w:rsidP="00C613C3">
      <w:pPr>
        <w:spacing w:before="60"/>
      </w:pPr>
      <w:bookmarkStart w:id="0" w:name="_Toc314475542"/>
      <w:bookmarkStart w:id="1" w:name="_GoBack"/>
      <w:bookmarkEnd w:id="1"/>
    </w:p>
    <w:p w14:paraId="75AF2405" w14:textId="77777777" w:rsidR="006A7BB9" w:rsidRDefault="006A7BB9" w:rsidP="00E56F64"/>
    <w:p w14:paraId="5B05C9AD" w14:textId="77777777" w:rsidR="006A7BB9" w:rsidRDefault="006A7BB9" w:rsidP="00E56F64"/>
    <w:p w14:paraId="0816E76A" w14:textId="77777777" w:rsidR="003B02E8" w:rsidRPr="001254FC" w:rsidRDefault="003B02E8" w:rsidP="00C613C3">
      <w:pPr>
        <w:pStyle w:val="Heading1"/>
        <w:spacing w:before="60" w:after="60" w:line="240" w:lineRule="auto"/>
        <w:rPr>
          <w:sz w:val="28"/>
          <w:szCs w:val="28"/>
        </w:rPr>
      </w:pPr>
      <w:bookmarkStart w:id="2" w:name="_Toc336267542"/>
      <w:bookmarkEnd w:id="0"/>
      <w:r w:rsidRPr="001254FC">
        <w:rPr>
          <w:sz w:val="28"/>
          <w:szCs w:val="28"/>
        </w:rPr>
        <w:t>Queensland Civil and Administrative Tribunal Retention and Disposal Schedule</w:t>
      </w:r>
      <w:bookmarkEnd w:id="2"/>
    </w:p>
    <w:p w14:paraId="71B880C2" w14:textId="77777777" w:rsidR="003B02E8" w:rsidRPr="001254FC" w:rsidRDefault="003B02E8" w:rsidP="00C613C3">
      <w:pPr>
        <w:pStyle w:val="Heading3"/>
        <w:spacing w:before="60" w:after="60"/>
        <w:rPr>
          <w:rFonts w:cs="Arial"/>
          <w:color w:val="5F5F5F"/>
          <w:sz w:val="28"/>
          <w:szCs w:val="28"/>
        </w:rPr>
      </w:pPr>
      <w:bookmarkStart w:id="3" w:name="_Toc314475543"/>
      <w:bookmarkStart w:id="4" w:name="_Toc336267543"/>
      <w:r w:rsidRPr="001254FC">
        <w:rPr>
          <w:rFonts w:cs="Arial"/>
          <w:color w:val="5F5F5F"/>
          <w:sz w:val="28"/>
          <w:szCs w:val="28"/>
        </w:rPr>
        <w:t xml:space="preserve">Responsible public authority: </w:t>
      </w:r>
      <w:bookmarkEnd w:id="3"/>
      <w:bookmarkEnd w:id="4"/>
      <w:r w:rsidRPr="001254FC">
        <w:rPr>
          <w:rFonts w:cs="Arial"/>
          <w:color w:val="5F5F5F"/>
          <w:sz w:val="28"/>
          <w:szCs w:val="28"/>
        </w:rPr>
        <w:t>Queensland Civil and Administrative Tribunal</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5693"/>
        <w:gridCol w:w="6982"/>
        <w:gridCol w:w="1398"/>
        <w:gridCol w:w="1053"/>
      </w:tblGrid>
      <w:tr w:rsidR="003B02E8" w:rsidRPr="00EE50E0" w14:paraId="7545F5C8" w14:textId="77777777" w:rsidTr="00D32AC7">
        <w:trPr>
          <w:trHeight w:val="193"/>
        </w:trPr>
        <w:tc>
          <w:tcPr>
            <w:tcW w:w="1882"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4E30759B" w14:textId="77777777" w:rsidR="003B02E8" w:rsidRPr="007B5C75" w:rsidRDefault="003B02E8" w:rsidP="00C613C3">
            <w:pPr>
              <w:pStyle w:val="Heading3"/>
              <w:spacing w:before="60" w:after="60" w:line="240" w:lineRule="auto"/>
              <w:rPr>
                <w:rFonts w:cs="Arial"/>
                <w:szCs w:val="22"/>
              </w:rPr>
            </w:pPr>
            <w:bookmarkStart w:id="5" w:name="_Toc314475544"/>
            <w:bookmarkStart w:id="6" w:name="_Toc336267544"/>
            <w:r w:rsidRPr="007B5C75">
              <w:rPr>
                <w:rFonts w:cs="Arial"/>
                <w:szCs w:val="22"/>
              </w:rPr>
              <w:t>Queensland Disposal Authority Number (QDAN)</w:t>
            </w:r>
            <w:bookmarkEnd w:id="5"/>
            <w:bookmarkEnd w:id="6"/>
          </w:p>
        </w:tc>
        <w:tc>
          <w:tcPr>
            <w:tcW w:w="2308"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341CA123" w14:textId="1C6F8D81" w:rsidR="003B02E8" w:rsidRPr="00312BD9" w:rsidRDefault="00312BD9" w:rsidP="00C613C3">
            <w:pPr>
              <w:pStyle w:val="Tabletext"/>
              <w:spacing w:before="60" w:after="60"/>
              <w:rPr>
                <w:rFonts w:cs="Arial"/>
                <w:sz w:val="22"/>
                <w:szCs w:val="22"/>
              </w:rPr>
            </w:pPr>
            <w:r w:rsidRPr="00312BD9">
              <w:rPr>
                <w:rFonts w:cs="Arial"/>
                <w:sz w:val="22"/>
                <w:szCs w:val="22"/>
              </w:rPr>
              <w:t>731</w:t>
            </w:r>
          </w:p>
        </w:tc>
        <w:tc>
          <w:tcPr>
            <w:tcW w:w="462"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495E8FC9" w14:textId="77777777" w:rsidR="003B02E8" w:rsidRPr="007B5C75" w:rsidRDefault="003B02E8" w:rsidP="00C613C3">
            <w:pPr>
              <w:pStyle w:val="Heading3"/>
              <w:spacing w:before="60" w:after="60" w:line="240" w:lineRule="auto"/>
              <w:rPr>
                <w:rFonts w:cs="Arial"/>
                <w:szCs w:val="22"/>
              </w:rPr>
            </w:pPr>
            <w:bookmarkStart w:id="7" w:name="_Toc314475545"/>
            <w:bookmarkStart w:id="8" w:name="_Toc336267545"/>
            <w:r w:rsidRPr="007B5C75">
              <w:rPr>
                <w:rFonts w:cs="Arial"/>
                <w:szCs w:val="22"/>
              </w:rPr>
              <w:t>Version</w:t>
            </w:r>
            <w:bookmarkEnd w:id="7"/>
            <w:bookmarkEnd w:id="8"/>
          </w:p>
        </w:tc>
        <w:tc>
          <w:tcPr>
            <w:tcW w:w="348"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4BBEE437" w14:textId="1961CF5B" w:rsidR="003B02E8" w:rsidRPr="00312BD9" w:rsidRDefault="00312BD9" w:rsidP="00C613C3">
            <w:pPr>
              <w:pStyle w:val="Tabletext"/>
              <w:spacing w:before="60" w:after="60"/>
              <w:rPr>
                <w:rFonts w:cs="Arial"/>
                <w:sz w:val="22"/>
                <w:szCs w:val="22"/>
              </w:rPr>
            </w:pPr>
            <w:r w:rsidRPr="00312BD9">
              <w:rPr>
                <w:rFonts w:cs="Arial"/>
                <w:sz w:val="22"/>
                <w:szCs w:val="22"/>
              </w:rPr>
              <w:t>1</w:t>
            </w:r>
          </w:p>
        </w:tc>
      </w:tr>
      <w:tr w:rsidR="003B02E8" w:rsidRPr="00EE50E0" w14:paraId="2D85718B" w14:textId="77777777" w:rsidTr="00D32AC7">
        <w:tblPrEx>
          <w:tblCellMar>
            <w:top w:w="57" w:type="dxa"/>
            <w:left w:w="119" w:type="dxa"/>
            <w:right w:w="119" w:type="dxa"/>
          </w:tblCellMar>
        </w:tblPrEx>
        <w:tc>
          <w:tcPr>
            <w:tcW w:w="1882" w:type="pct"/>
            <w:tcBorders>
              <w:top w:val="single" w:sz="18" w:space="0" w:color="C0C0C0"/>
            </w:tcBorders>
            <w:shd w:val="clear" w:color="auto" w:fill="auto"/>
          </w:tcPr>
          <w:p w14:paraId="17F2F7C3" w14:textId="77777777" w:rsidR="003B02E8" w:rsidRPr="00EE50E0" w:rsidRDefault="003B02E8" w:rsidP="00C613C3">
            <w:pPr>
              <w:pStyle w:val="Heading3"/>
              <w:spacing w:before="60" w:after="60" w:line="240" w:lineRule="auto"/>
              <w:rPr>
                <w:rFonts w:cs="Arial"/>
                <w:b w:val="0"/>
                <w:szCs w:val="22"/>
              </w:rPr>
            </w:pPr>
            <w:bookmarkStart w:id="9" w:name="_Toc314475546"/>
            <w:bookmarkStart w:id="10" w:name="_Toc336267546"/>
            <w:r w:rsidRPr="00EE50E0">
              <w:rPr>
                <w:rFonts w:cs="Arial"/>
                <w:szCs w:val="22"/>
              </w:rPr>
              <w:t>Date of approval</w:t>
            </w:r>
            <w:bookmarkEnd w:id="9"/>
            <w:bookmarkEnd w:id="10"/>
            <w:r w:rsidRPr="00EE50E0">
              <w:rPr>
                <w:rFonts w:cs="Arial"/>
                <w:b w:val="0"/>
                <w:szCs w:val="22"/>
              </w:rPr>
              <w:t xml:space="preserve"> </w:t>
            </w:r>
          </w:p>
        </w:tc>
        <w:tc>
          <w:tcPr>
            <w:tcW w:w="3118" w:type="pct"/>
            <w:gridSpan w:val="3"/>
            <w:shd w:val="clear" w:color="auto" w:fill="auto"/>
          </w:tcPr>
          <w:p w14:paraId="5F17C24A" w14:textId="32B60D79" w:rsidR="003B02E8" w:rsidRPr="00EE50E0" w:rsidRDefault="004E0921" w:rsidP="00C613C3">
            <w:pPr>
              <w:pStyle w:val="Tabletext"/>
              <w:spacing w:before="60" w:after="60"/>
              <w:rPr>
                <w:rFonts w:cs="Arial"/>
                <w:sz w:val="22"/>
                <w:szCs w:val="22"/>
              </w:rPr>
            </w:pPr>
            <w:r>
              <w:rPr>
                <w:rFonts w:cs="Arial"/>
                <w:sz w:val="22"/>
                <w:szCs w:val="22"/>
              </w:rPr>
              <w:t>31 August 2016</w:t>
            </w:r>
          </w:p>
        </w:tc>
      </w:tr>
      <w:tr w:rsidR="003B02E8" w:rsidRPr="00EE50E0" w14:paraId="43C45BAA" w14:textId="77777777" w:rsidTr="00D32AC7">
        <w:tblPrEx>
          <w:tblCellMar>
            <w:top w:w="57" w:type="dxa"/>
            <w:left w:w="119" w:type="dxa"/>
            <w:right w:w="119" w:type="dxa"/>
          </w:tblCellMar>
        </w:tblPrEx>
        <w:tc>
          <w:tcPr>
            <w:tcW w:w="1882" w:type="pct"/>
            <w:shd w:val="clear" w:color="auto" w:fill="auto"/>
          </w:tcPr>
          <w:p w14:paraId="7361A11B" w14:textId="77777777" w:rsidR="003B02E8" w:rsidRPr="00EE50E0" w:rsidRDefault="003B02E8" w:rsidP="00C613C3">
            <w:pPr>
              <w:pStyle w:val="Heading3"/>
              <w:spacing w:before="60" w:after="60" w:line="240" w:lineRule="auto"/>
              <w:rPr>
                <w:rFonts w:cs="Arial"/>
                <w:b w:val="0"/>
                <w:szCs w:val="22"/>
              </w:rPr>
            </w:pPr>
            <w:bookmarkStart w:id="11" w:name="_Toc314475547"/>
            <w:bookmarkStart w:id="12" w:name="_Toc336267547"/>
            <w:r w:rsidRPr="00EE50E0">
              <w:rPr>
                <w:rFonts w:cs="Arial"/>
                <w:szCs w:val="22"/>
              </w:rPr>
              <w:t>Approved by State Archivist</w:t>
            </w:r>
            <w:bookmarkEnd w:id="11"/>
            <w:bookmarkEnd w:id="12"/>
            <w:r w:rsidRPr="00EE50E0">
              <w:rPr>
                <w:rFonts w:cs="Arial"/>
                <w:b w:val="0"/>
                <w:szCs w:val="22"/>
              </w:rPr>
              <w:t xml:space="preserve"> </w:t>
            </w:r>
          </w:p>
        </w:tc>
        <w:tc>
          <w:tcPr>
            <w:tcW w:w="3118" w:type="pct"/>
            <w:gridSpan w:val="3"/>
            <w:shd w:val="clear" w:color="auto" w:fill="auto"/>
          </w:tcPr>
          <w:p w14:paraId="036E912F" w14:textId="7A037E4E" w:rsidR="003B02E8" w:rsidRPr="004E0921" w:rsidRDefault="004E0921" w:rsidP="00EC24B2">
            <w:pPr>
              <w:pStyle w:val="Tabletext"/>
              <w:tabs>
                <w:tab w:val="left" w:pos="4325"/>
              </w:tabs>
              <w:spacing w:before="60" w:after="60"/>
              <w:rPr>
                <w:rFonts w:cs="Arial"/>
                <w:sz w:val="22"/>
                <w:szCs w:val="22"/>
              </w:rPr>
            </w:pPr>
            <w:bookmarkStart w:id="13" w:name="_Toc314475548"/>
            <w:r w:rsidRPr="004E0921">
              <w:rPr>
                <w:rFonts w:cs="Arial"/>
                <w:sz w:val="22"/>
                <w:szCs w:val="22"/>
              </w:rPr>
              <w:t>Mike Summerell</w:t>
            </w:r>
            <w:r w:rsidR="003B02E8" w:rsidRPr="004E0921">
              <w:rPr>
                <w:rFonts w:cs="Arial"/>
                <w:sz w:val="22"/>
                <w:szCs w:val="22"/>
              </w:rPr>
              <w:tab/>
            </w:r>
            <w:bookmarkEnd w:id="13"/>
          </w:p>
        </w:tc>
      </w:tr>
      <w:tr w:rsidR="003B02E8" w:rsidRPr="00EE50E0" w14:paraId="230E125F" w14:textId="77777777" w:rsidTr="00D32AC7">
        <w:tblPrEx>
          <w:tblCellMar>
            <w:top w:w="57" w:type="dxa"/>
            <w:left w:w="119" w:type="dxa"/>
            <w:right w:w="119" w:type="dxa"/>
          </w:tblCellMar>
        </w:tblPrEx>
        <w:tc>
          <w:tcPr>
            <w:tcW w:w="1882"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5EFD6D4F" w14:textId="77777777" w:rsidR="003B02E8" w:rsidRPr="00EE50E0" w:rsidRDefault="003B02E8" w:rsidP="00C613C3">
            <w:pPr>
              <w:pStyle w:val="Heading3"/>
              <w:spacing w:before="60" w:after="60" w:line="240" w:lineRule="auto"/>
              <w:rPr>
                <w:rFonts w:cs="Arial"/>
                <w:b w:val="0"/>
                <w:szCs w:val="22"/>
              </w:rPr>
            </w:pPr>
            <w:bookmarkStart w:id="14" w:name="_Toc314475549"/>
            <w:bookmarkStart w:id="15" w:name="_Toc336267548"/>
            <w:r w:rsidRPr="00EE50E0">
              <w:rPr>
                <w:rFonts w:cs="Arial"/>
                <w:szCs w:val="22"/>
              </w:rPr>
              <w:t>QSA File Reference</w:t>
            </w:r>
            <w:bookmarkEnd w:id="14"/>
            <w:bookmarkEnd w:id="15"/>
          </w:p>
        </w:tc>
        <w:tc>
          <w:tcPr>
            <w:tcW w:w="3118" w:type="pct"/>
            <w:gridSpan w:val="3"/>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3B5766C3" w14:textId="0B329316" w:rsidR="003B02E8" w:rsidRPr="00EE50E0" w:rsidRDefault="00312BD9" w:rsidP="00C613C3">
            <w:pPr>
              <w:pStyle w:val="Tabletext"/>
              <w:spacing w:before="60" w:after="60"/>
              <w:rPr>
                <w:rFonts w:cs="Arial"/>
                <w:sz w:val="22"/>
                <w:szCs w:val="22"/>
              </w:rPr>
            </w:pPr>
            <w:r>
              <w:rPr>
                <w:rFonts w:cs="Arial"/>
                <w:sz w:val="22"/>
                <w:szCs w:val="22"/>
              </w:rPr>
              <w:t>QSA07/472-02</w:t>
            </w:r>
          </w:p>
        </w:tc>
      </w:tr>
    </w:tbl>
    <w:p w14:paraId="6DE37D95" w14:textId="77777777" w:rsidR="003B02E8" w:rsidRPr="001254FC" w:rsidRDefault="003B02E8" w:rsidP="009969C9">
      <w:pPr>
        <w:spacing w:before="240" w:after="120" w:line="240" w:lineRule="auto"/>
        <w:rPr>
          <w:rFonts w:cs="Arial"/>
          <w:b/>
          <w:bCs/>
          <w:szCs w:val="22"/>
        </w:rPr>
      </w:pPr>
      <w:bookmarkStart w:id="16" w:name="_Toc314475550"/>
      <w:r w:rsidRPr="001254FC">
        <w:rPr>
          <w:rFonts w:cs="Arial"/>
          <w:b/>
          <w:szCs w:val="22"/>
        </w:rPr>
        <w:t>Scope of retention and disposal schedule</w:t>
      </w:r>
      <w:bookmarkEnd w:id="16"/>
    </w:p>
    <w:p w14:paraId="4B55AA60" w14:textId="77777777" w:rsidR="003B02E8" w:rsidRPr="009969C9" w:rsidRDefault="003B02E8" w:rsidP="00C613C3">
      <w:pPr>
        <w:spacing w:before="60" w:line="240" w:lineRule="auto"/>
        <w:rPr>
          <w:rFonts w:cs="Arial"/>
          <w:szCs w:val="22"/>
        </w:rPr>
      </w:pPr>
      <w:bookmarkStart w:id="17" w:name="Text1"/>
      <w:r w:rsidRPr="001254FC">
        <w:rPr>
          <w:rFonts w:cs="Arial"/>
          <w:szCs w:val="22"/>
        </w:rPr>
        <w:t xml:space="preserve">This schedule applies to the core business records of the Queensland Civil and Administrative </w:t>
      </w:r>
      <w:bookmarkEnd w:id="17"/>
      <w:r w:rsidRPr="001254FC">
        <w:rPr>
          <w:rFonts w:cs="Arial"/>
          <w:szCs w:val="22"/>
        </w:rPr>
        <w:t>Tribunal</w:t>
      </w:r>
      <w:r>
        <w:rPr>
          <w:rFonts w:cs="Arial"/>
          <w:szCs w:val="22"/>
        </w:rPr>
        <w:t xml:space="preserve"> (QCAT)</w:t>
      </w:r>
      <w:r w:rsidRPr="001254FC">
        <w:rPr>
          <w:rFonts w:cs="Arial"/>
          <w:szCs w:val="22"/>
        </w:rPr>
        <w:t xml:space="preserve">, including functions created for the Tribunal under the </w:t>
      </w:r>
      <w:r w:rsidRPr="001254FC">
        <w:rPr>
          <w:rFonts w:cs="Arial"/>
          <w:i/>
          <w:szCs w:val="22"/>
        </w:rPr>
        <w:t>Queensland Civil and Administrative Act 2009</w:t>
      </w:r>
      <w:r w:rsidRPr="009969C9">
        <w:rPr>
          <w:rFonts w:cs="Arial"/>
          <w:szCs w:val="22"/>
        </w:rPr>
        <w:t>, Queensland Civil and Administrative Tribunal Regulation 2009 and the Queensland Civil and Administrative Tribunal Rules 2009.</w:t>
      </w:r>
    </w:p>
    <w:p w14:paraId="3075F86C" w14:textId="18E68B8D" w:rsidR="003B02E8" w:rsidRPr="001254FC" w:rsidRDefault="003B02E8" w:rsidP="00C613C3">
      <w:pPr>
        <w:spacing w:before="60" w:line="240" w:lineRule="auto"/>
        <w:rPr>
          <w:rFonts w:cs="Arial"/>
          <w:szCs w:val="22"/>
        </w:rPr>
      </w:pPr>
      <w:r w:rsidRPr="001254FC">
        <w:rPr>
          <w:rFonts w:cs="Arial"/>
          <w:szCs w:val="22"/>
        </w:rPr>
        <w:t xml:space="preserve">This schedule is to be used in conjunction with the </w:t>
      </w:r>
      <w:hyperlink r:id="rId7" w:history="1">
        <w:r w:rsidR="00A72B91" w:rsidRPr="00643409">
          <w:rPr>
            <w:rStyle w:val="Hyperlink"/>
            <w:rFonts w:cs="Arial"/>
            <w:i/>
            <w:szCs w:val="22"/>
          </w:rPr>
          <w:t>General Retention and Disposal Schedule</w:t>
        </w:r>
      </w:hyperlink>
      <w:r w:rsidR="00A72B91" w:rsidRPr="001254FC">
        <w:rPr>
          <w:rFonts w:cs="Arial"/>
          <w:szCs w:val="22"/>
        </w:rPr>
        <w:t xml:space="preserve"> (GRDS).</w:t>
      </w:r>
    </w:p>
    <w:p w14:paraId="38C80F04" w14:textId="77777777" w:rsidR="003B02E8" w:rsidRPr="001254FC" w:rsidRDefault="003B02E8" w:rsidP="00C613C3">
      <w:pPr>
        <w:spacing w:before="60" w:line="240" w:lineRule="auto"/>
        <w:rPr>
          <w:rFonts w:cs="Arial"/>
          <w:bCs/>
          <w:szCs w:val="22"/>
        </w:rPr>
      </w:pPr>
      <w:r w:rsidRPr="001254FC">
        <w:rPr>
          <w:rFonts w:cs="Arial"/>
          <w:szCs w:val="22"/>
        </w:rPr>
        <w:t>References to repealed legislation within this schedule may be taken to be a reference to current legislation if the context permits.</w:t>
      </w:r>
    </w:p>
    <w:p w14:paraId="6DF4E6BD" w14:textId="730D25E0" w:rsidR="003B02E8" w:rsidRPr="001254FC" w:rsidRDefault="003B02E8" w:rsidP="00C613C3">
      <w:pPr>
        <w:spacing w:before="60" w:line="240" w:lineRule="auto"/>
        <w:rPr>
          <w:rFonts w:cs="Arial"/>
          <w:szCs w:val="22"/>
        </w:rPr>
      </w:pPr>
      <w:r w:rsidRPr="001254FC">
        <w:rPr>
          <w:rFonts w:cs="Arial"/>
          <w:szCs w:val="22"/>
        </w:rPr>
        <w:t xml:space="preserve">The Queensland Civil and Administrative Tribunal is the responsible agency for the Queensland Civil and Administrative </w:t>
      </w:r>
      <w:r w:rsidR="009969C9">
        <w:rPr>
          <w:rFonts w:cs="Arial"/>
          <w:szCs w:val="22"/>
        </w:rPr>
        <w:t xml:space="preserve">Tribunal </w:t>
      </w:r>
      <w:r w:rsidRPr="001254FC">
        <w:rPr>
          <w:rFonts w:cs="Arial"/>
          <w:szCs w:val="22"/>
        </w:rPr>
        <w:t xml:space="preserve">Retention and Disposal Schedule at the time of approval of the schedule. However, in the event of an administrative change, or the transfer of a function from one </w:t>
      </w:r>
      <w:r w:rsidR="00A72B91">
        <w:rPr>
          <w:rFonts w:cs="Arial"/>
          <w:szCs w:val="22"/>
        </w:rPr>
        <w:t xml:space="preserve">agency </w:t>
      </w:r>
      <w:r w:rsidRPr="001254FC">
        <w:rPr>
          <w:rFonts w:cs="Arial"/>
          <w:szCs w:val="22"/>
        </w:rPr>
        <w:t>to another, this retention and disposal schedule will continue to apply to the records covered by the schedule. For further advice on the currency of approved retention and disposal schedules following administrative change, please contact Agency Services at Queensland State Archives on (07) </w:t>
      </w:r>
      <w:r w:rsidR="003A19AE">
        <w:rPr>
          <w:rFonts w:cs="Arial"/>
          <w:szCs w:val="22"/>
        </w:rPr>
        <w:t>3037</w:t>
      </w:r>
      <w:r w:rsidR="009969C9">
        <w:t> </w:t>
      </w:r>
      <w:r w:rsidR="003A19AE">
        <w:rPr>
          <w:rFonts w:cs="Arial"/>
          <w:szCs w:val="22"/>
        </w:rPr>
        <w:t>6630</w:t>
      </w:r>
      <w:r w:rsidRPr="001254FC">
        <w:rPr>
          <w:rFonts w:cs="Arial"/>
          <w:szCs w:val="22"/>
        </w:rPr>
        <w:t xml:space="preserve"> or </w:t>
      </w:r>
      <w:hyperlink r:id="rId8" w:history="1">
        <w:r w:rsidRPr="001254FC">
          <w:rPr>
            <w:rStyle w:val="Hyperlink"/>
            <w:rFonts w:cs="Arial"/>
            <w:szCs w:val="22"/>
          </w:rPr>
          <w:t>rkqueries@archives.qld.gov.au</w:t>
        </w:r>
      </w:hyperlink>
      <w:r w:rsidRPr="001254FC">
        <w:rPr>
          <w:rFonts w:cs="Arial"/>
          <w:szCs w:val="22"/>
        </w:rPr>
        <w:t>.</w:t>
      </w:r>
    </w:p>
    <w:p w14:paraId="6744DC24" w14:textId="73CC888F" w:rsidR="003B02E8" w:rsidRPr="001254FC" w:rsidRDefault="003B02E8" w:rsidP="009969C9">
      <w:pPr>
        <w:spacing w:before="120" w:line="240" w:lineRule="auto"/>
        <w:rPr>
          <w:rFonts w:cs="Arial"/>
          <w:b/>
          <w:szCs w:val="22"/>
        </w:rPr>
      </w:pPr>
      <w:bookmarkStart w:id="18" w:name="_Toc314475551"/>
      <w:r w:rsidRPr="001254FC">
        <w:rPr>
          <w:rFonts w:cs="Arial"/>
          <w:b/>
          <w:szCs w:val="22"/>
        </w:rPr>
        <w:t xml:space="preserve">Record </w:t>
      </w:r>
      <w:r w:rsidR="009969C9">
        <w:rPr>
          <w:rFonts w:cs="Arial"/>
          <w:b/>
          <w:szCs w:val="22"/>
        </w:rPr>
        <w:t>f</w:t>
      </w:r>
      <w:r w:rsidRPr="001254FC">
        <w:rPr>
          <w:rFonts w:cs="Arial"/>
          <w:b/>
          <w:szCs w:val="22"/>
        </w:rPr>
        <w:t>ormats</w:t>
      </w:r>
      <w:bookmarkEnd w:id="18"/>
    </w:p>
    <w:p w14:paraId="57BE381A" w14:textId="77777777" w:rsidR="003B02E8" w:rsidRPr="001254FC" w:rsidRDefault="003B02E8" w:rsidP="00C613C3">
      <w:pPr>
        <w:spacing w:before="60" w:line="240" w:lineRule="auto"/>
        <w:rPr>
          <w:rFonts w:cs="Arial"/>
          <w:szCs w:val="22"/>
        </w:rPr>
      </w:pPr>
      <w:r w:rsidRPr="001254FC">
        <w:rPr>
          <w:rFonts w:cs="Arial"/>
          <w:szCs w:val="22"/>
        </w:rPr>
        <w:t>This schedule applies to records created in all formats, unless otherwise specified in the class description. This includes, but is not limited to,</w:t>
      </w:r>
      <w:r w:rsidRPr="001254FC">
        <w:rPr>
          <w:rFonts w:cs="Arial"/>
          <w:szCs w:val="22"/>
          <w:lang w:val="en-GB"/>
        </w:rPr>
        <w:t xml:space="preserve"> </w:t>
      </w:r>
      <w:r w:rsidRPr="001254FC">
        <w:rPr>
          <w:rFonts w:cs="Arial"/>
          <w:szCs w:val="22"/>
        </w:rPr>
        <w:t>records in business systems, maps, plans, photographs, motion picture and records created using web 2.0 media.</w:t>
      </w:r>
    </w:p>
    <w:p w14:paraId="377B3448" w14:textId="77777777" w:rsidR="003B02E8" w:rsidRPr="001254FC" w:rsidRDefault="003B02E8" w:rsidP="009969C9">
      <w:pPr>
        <w:spacing w:before="120" w:line="240" w:lineRule="auto"/>
        <w:rPr>
          <w:rFonts w:cs="Arial"/>
          <w:szCs w:val="22"/>
        </w:rPr>
      </w:pPr>
      <w:bookmarkStart w:id="19" w:name="_Toc314475552"/>
      <w:r w:rsidRPr="001254FC">
        <w:rPr>
          <w:rFonts w:cs="Arial"/>
          <w:b/>
          <w:szCs w:val="22"/>
        </w:rPr>
        <w:br w:type="page"/>
      </w:r>
      <w:r w:rsidRPr="001254FC">
        <w:rPr>
          <w:rFonts w:cs="Arial"/>
          <w:b/>
          <w:szCs w:val="22"/>
        </w:rPr>
        <w:lastRenderedPageBreak/>
        <w:t>Authority</w:t>
      </w:r>
      <w:bookmarkEnd w:id="19"/>
    </w:p>
    <w:p w14:paraId="0C918B25" w14:textId="77777777" w:rsidR="003B02E8" w:rsidRPr="001254FC" w:rsidRDefault="003B02E8" w:rsidP="00C613C3">
      <w:pPr>
        <w:spacing w:before="60" w:line="240" w:lineRule="auto"/>
        <w:rPr>
          <w:rFonts w:cs="Arial"/>
          <w:szCs w:val="22"/>
        </w:rPr>
      </w:pPr>
      <w:r w:rsidRPr="001254FC">
        <w:rPr>
          <w:rFonts w:cs="Arial"/>
          <w:szCs w:val="22"/>
        </w:rPr>
        <w:t xml:space="preserve">Authorisation for the disposal of public records is given under s.26 of the </w:t>
      </w:r>
      <w:r w:rsidRPr="001254FC">
        <w:rPr>
          <w:rFonts w:cs="Arial"/>
          <w:i/>
          <w:szCs w:val="22"/>
        </w:rPr>
        <w:t>Public Records Act 2002</w:t>
      </w:r>
      <w:r w:rsidRPr="001254FC">
        <w:rPr>
          <w:rFonts w:cs="Arial"/>
          <w:szCs w:val="22"/>
        </w:rPr>
        <w:t xml:space="preserve"> (the Act).</w:t>
      </w:r>
    </w:p>
    <w:p w14:paraId="4693CDE0" w14:textId="543EF43E" w:rsidR="003B02E8" w:rsidRPr="001254FC" w:rsidRDefault="003B02E8" w:rsidP="00C613C3">
      <w:pPr>
        <w:spacing w:before="60" w:line="240" w:lineRule="auto"/>
        <w:rPr>
          <w:rFonts w:cs="Arial"/>
          <w:szCs w:val="22"/>
        </w:rPr>
      </w:pPr>
      <w:r w:rsidRPr="001254FC">
        <w:rPr>
          <w:rFonts w:cs="Arial"/>
          <w:szCs w:val="22"/>
        </w:rPr>
        <w:t xml:space="preserve">No further authorisation is required from the State Archivist for records disposed of under this schedule. However, the disposal of all public records must be endorsed by the </w:t>
      </w:r>
      <w:r w:rsidR="00A72B91">
        <w:rPr>
          <w:rFonts w:cs="Arial"/>
          <w:szCs w:val="22"/>
        </w:rPr>
        <w:t>agency’s</w:t>
      </w:r>
      <w:r w:rsidRPr="001254FC">
        <w:rPr>
          <w:rFonts w:cs="Arial"/>
          <w:szCs w:val="22"/>
        </w:rPr>
        <w:t xml:space="preserve"> Chief Executive Officer, or authorised delegate, in accordance with</w:t>
      </w:r>
      <w:r w:rsidRPr="001254FC">
        <w:rPr>
          <w:rFonts w:cs="Arial"/>
          <w:i/>
          <w:szCs w:val="22"/>
        </w:rPr>
        <w:t xml:space="preserve"> </w:t>
      </w:r>
      <w:r w:rsidRPr="009969C9">
        <w:rPr>
          <w:rFonts w:cs="Arial"/>
          <w:szCs w:val="22"/>
        </w:rPr>
        <w:t xml:space="preserve">Information Standard 31: Retention and Disposal of Public Records, </w:t>
      </w:r>
      <w:r w:rsidRPr="001254FC">
        <w:rPr>
          <w:rFonts w:cs="Arial"/>
          <w:szCs w:val="22"/>
        </w:rPr>
        <w:t>and recorded in the public authority’s disposal log.</w:t>
      </w:r>
    </w:p>
    <w:p w14:paraId="2F4DF67F" w14:textId="77777777" w:rsidR="003B02E8" w:rsidRPr="001254FC" w:rsidRDefault="003B02E8" w:rsidP="00C613C3">
      <w:pPr>
        <w:spacing w:before="60" w:line="240" w:lineRule="auto"/>
        <w:rPr>
          <w:rFonts w:cs="Arial"/>
          <w:szCs w:val="22"/>
        </w:rPr>
      </w:pPr>
      <w:r w:rsidRPr="001254FC">
        <w:rPr>
          <w:rFonts w:cs="Arial"/>
          <w:szCs w:val="22"/>
        </w:rPr>
        <w:t>Public records that are not covered by an approved retention and disposal schedule cannot be disposed of by a public authority.</w:t>
      </w:r>
    </w:p>
    <w:p w14:paraId="5CF64418" w14:textId="1911B604" w:rsidR="003B02E8" w:rsidRPr="001254FC" w:rsidRDefault="003B02E8" w:rsidP="00C613C3">
      <w:pPr>
        <w:spacing w:before="60" w:line="240" w:lineRule="auto"/>
        <w:rPr>
          <w:rFonts w:cs="Arial"/>
          <w:szCs w:val="22"/>
        </w:rPr>
      </w:pPr>
      <w:r w:rsidRPr="001254FC">
        <w:rPr>
          <w:rFonts w:cs="Arial"/>
          <w:szCs w:val="22"/>
        </w:rPr>
        <w:t xml:space="preserve">Disposal of public records not covered by an approved retention and disposal schedule is </w:t>
      </w:r>
      <w:r w:rsidR="00CE340B">
        <w:rPr>
          <w:rFonts w:cs="Arial"/>
          <w:szCs w:val="22"/>
        </w:rPr>
        <w:t>a contravention of s.</w:t>
      </w:r>
      <w:r w:rsidRPr="001254FC">
        <w:rPr>
          <w:rFonts w:cs="Arial"/>
          <w:szCs w:val="22"/>
        </w:rPr>
        <w:t>13 of the Act.</w:t>
      </w:r>
    </w:p>
    <w:p w14:paraId="6E9F4460" w14:textId="77777777" w:rsidR="003B02E8" w:rsidRPr="001254FC" w:rsidRDefault="003B02E8" w:rsidP="009969C9">
      <w:pPr>
        <w:spacing w:before="120" w:line="240" w:lineRule="auto"/>
        <w:rPr>
          <w:rFonts w:cs="Arial"/>
          <w:b/>
          <w:bCs/>
          <w:szCs w:val="22"/>
        </w:rPr>
      </w:pPr>
      <w:bookmarkStart w:id="20" w:name="_Toc314475554"/>
      <w:r w:rsidRPr="001254FC">
        <w:rPr>
          <w:rFonts w:cs="Arial"/>
          <w:b/>
          <w:szCs w:val="22"/>
        </w:rPr>
        <w:t>Retention of records</w:t>
      </w:r>
      <w:bookmarkEnd w:id="20"/>
    </w:p>
    <w:p w14:paraId="6F0F1A26" w14:textId="77777777" w:rsidR="003B02E8" w:rsidRPr="001254FC" w:rsidRDefault="003B02E8" w:rsidP="00C613C3">
      <w:pPr>
        <w:spacing w:before="60" w:line="240" w:lineRule="auto"/>
        <w:rPr>
          <w:rFonts w:cs="Arial"/>
          <w:szCs w:val="22"/>
        </w:rPr>
      </w:pPr>
      <w:r w:rsidRPr="001254FC">
        <w:rPr>
          <w:rFonts w:cs="Arial"/>
          <w:szCs w:val="22"/>
        </w:rPr>
        <w:t>All of the retention periods in this schedule are the minimum period for which the sentenced records must be maintained. Public records cannot be disposed of prior to the expiration of the appropriate retention period. However, there is no requirement for public records to be destroyed at the expiration of a minimum retention period.</w:t>
      </w:r>
    </w:p>
    <w:p w14:paraId="316B06A3" w14:textId="77777777" w:rsidR="003B02E8" w:rsidRPr="001254FC" w:rsidRDefault="003B02E8" w:rsidP="00C613C3">
      <w:pPr>
        <w:spacing w:before="60" w:line="240" w:lineRule="auto"/>
        <w:rPr>
          <w:rFonts w:cs="Arial"/>
          <w:szCs w:val="22"/>
        </w:rPr>
      </w:pPr>
      <w:r w:rsidRPr="001254FC">
        <w:rPr>
          <w:rFonts w:cs="Arial"/>
          <w:szCs w:val="22"/>
        </w:rPr>
        <w:t>Public records must be retained for longer if:</w:t>
      </w:r>
    </w:p>
    <w:p w14:paraId="71EA652B" w14:textId="77777777" w:rsidR="003B02E8" w:rsidRPr="001254FC" w:rsidRDefault="003B02E8" w:rsidP="00C613C3">
      <w:pPr>
        <w:pStyle w:val="ListNumber3"/>
        <w:numPr>
          <w:ilvl w:val="2"/>
          <w:numId w:val="6"/>
        </w:numPr>
        <w:tabs>
          <w:tab w:val="clear" w:pos="340"/>
        </w:tabs>
        <w:spacing w:line="240" w:lineRule="auto"/>
        <w:rPr>
          <w:rFonts w:cs="Arial"/>
          <w:szCs w:val="22"/>
        </w:rPr>
      </w:pPr>
      <w:r w:rsidRPr="001254FC">
        <w:rPr>
          <w:rFonts w:cs="Arial"/>
          <w:szCs w:val="22"/>
        </w:rPr>
        <w:t xml:space="preserve">the public record is or may be needed in evidence in a judicial proceeding, including any reasonably possible judicial proceeding </w:t>
      </w:r>
    </w:p>
    <w:p w14:paraId="4838072D" w14:textId="77777777" w:rsidR="003B02E8" w:rsidRPr="001254FC" w:rsidRDefault="003B02E8" w:rsidP="00C613C3">
      <w:pPr>
        <w:pStyle w:val="ListNumber3"/>
        <w:numPr>
          <w:ilvl w:val="2"/>
          <w:numId w:val="6"/>
        </w:numPr>
        <w:tabs>
          <w:tab w:val="clear" w:pos="340"/>
        </w:tabs>
        <w:spacing w:line="240" w:lineRule="auto"/>
        <w:rPr>
          <w:rFonts w:cs="Arial"/>
          <w:szCs w:val="22"/>
        </w:rPr>
      </w:pPr>
      <w:r w:rsidRPr="001254FC">
        <w:rPr>
          <w:rFonts w:cs="Arial"/>
          <w:szCs w:val="22"/>
        </w:rPr>
        <w:t>the public records may be obtained by a party to litigation under the relevant Rules of Court, whether or not the State is a party to that litigation</w:t>
      </w:r>
    </w:p>
    <w:p w14:paraId="28781A32" w14:textId="77777777" w:rsidR="003B02E8" w:rsidRPr="001254FC" w:rsidRDefault="003B02E8" w:rsidP="00C613C3">
      <w:pPr>
        <w:pStyle w:val="ListNumber3"/>
        <w:numPr>
          <w:ilvl w:val="2"/>
          <w:numId w:val="6"/>
        </w:numPr>
        <w:tabs>
          <w:tab w:val="clear" w:pos="340"/>
        </w:tabs>
        <w:spacing w:line="240" w:lineRule="auto"/>
        <w:rPr>
          <w:rFonts w:cs="Arial"/>
          <w:szCs w:val="22"/>
        </w:rPr>
      </w:pPr>
      <w:r w:rsidRPr="001254FC">
        <w:rPr>
          <w:rFonts w:cs="Arial"/>
          <w:szCs w:val="22"/>
        </w:rPr>
        <w:t xml:space="preserve">the public record must be retained pursuant to the </w:t>
      </w:r>
      <w:r w:rsidRPr="001254FC">
        <w:rPr>
          <w:rFonts w:cs="Arial"/>
          <w:i/>
          <w:iCs/>
          <w:szCs w:val="22"/>
        </w:rPr>
        <w:t>Evidence Act 1977</w:t>
      </w:r>
    </w:p>
    <w:p w14:paraId="2291C9A1" w14:textId="77777777" w:rsidR="003B02E8" w:rsidRPr="001254FC" w:rsidRDefault="003B02E8" w:rsidP="00C613C3">
      <w:pPr>
        <w:pStyle w:val="ListNumber3"/>
        <w:numPr>
          <w:ilvl w:val="2"/>
          <w:numId w:val="6"/>
        </w:numPr>
        <w:tabs>
          <w:tab w:val="clear" w:pos="340"/>
        </w:tabs>
        <w:spacing w:line="240" w:lineRule="auto"/>
        <w:rPr>
          <w:rFonts w:cs="Arial"/>
          <w:szCs w:val="22"/>
        </w:rPr>
      </w:pPr>
      <w:r w:rsidRPr="001254FC">
        <w:rPr>
          <w:rFonts w:cs="Arial"/>
          <w:szCs w:val="22"/>
        </w:rPr>
        <w:t>there is a current disposal freeze in relation to the public record, or</w:t>
      </w:r>
    </w:p>
    <w:p w14:paraId="4DF0FAAE" w14:textId="77777777" w:rsidR="003B02E8" w:rsidRPr="001254FC" w:rsidRDefault="003B02E8" w:rsidP="00C613C3">
      <w:pPr>
        <w:pStyle w:val="ListNumber3"/>
        <w:numPr>
          <w:ilvl w:val="2"/>
          <w:numId w:val="6"/>
        </w:numPr>
        <w:tabs>
          <w:tab w:val="clear" w:pos="340"/>
        </w:tabs>
        <w:spacing w:line="240" w:lineRule="auto"/>
        <w:rPr>
          <w:rFonts w:cs="Arial"/>
          <w:szCs w:val="22"/>
        </w:rPr>
      </w:pPr>
      <w:r w:rsidRPr="001254FC">
        <w:rPr>
          <w:rFonts w:cs="Arial"/>
          <w:szCs w:val="22"/>
        </w:rPr>
        <w:t>there is any other law or policy requiring that the public record be retained.</w:t>
      </w:r>
    </w:p>
    <w:p w14:paraId="30CDD335" w14:textId="77777777" w:rsidR="003B02E8" w:rsidRPr="001254FC" w:rsidRDefault="003B02E8" w:rsidP="00C613C3">
      <w:pPr>
        <w:spacing w:before="60" w:line="240" w:lineRule="auto"/>
        <w:rPr>
          <w:rFonts w:cs="Arial"/>
          <w:szCs w:val="22"/>
        </w:rPr>
      </w:pPr>
      <w:r w:rsidRPr="001254FC">
        <w:rPr>
          <w:rFonts w:cs="Arial"/>
          <w:szCs w:val="22"/>
        </w:rPr>
        <w:t>This list is not exhaustive.</w:t>
      </w:r>
    </w:p>
    <w:p w14:paraId="632C649B" w14:textId="77777777" w:rsidR="00C66E94" w:rsidRDefault="003B02E8" w:rsidP="00C613C3">
      <w:pPr>
        <w:spacing w:before="60" w:line="240" w:lineRule="auto"/>
        <w:rPr>
          <w:rFonts w:cs="Arial"/>
          <w:szCs w:val="22"/>
        </w:rPr>
      </w:pPr>
      <w:r w:rsidRPr="001254FC">
        <w:rPr>
          <w:rFonts w:cs="Arial"/>
          <w:szCs w:val="22"/>
        </w:rPr>
        <w:t>Public records which deal with the financial, legal or proprietorial rights of the State of Queensland or a State related Body or Agency regarding another legal entity and any public record which relates to the financial, legal or proprietorial rights of a party other than the State are potentially within the category of public records to which particular care should be given prior to disposal.</w:t>
      </w:r>
      <w:r w:rsidR="00C66E94">
        <w:rPr>
          <w:rFonts w:cs="Arial"/>
          <w:szCs w:val="22"/>
        </w:rPr>
        <w:t xml:space="preserve"> </w:t>
      </w:r>
    </w:p>
    <w:p w14:paraId="391C6BAC" w14:textId="3BB65213" w:rsidR="003B02E8" w:rsidRPr="001254FC" w:rsidRDefault="003B02E8" w:rsidP="00C613C3">
      <w:pPr>
        <w:spacing w:before="60" w:line="240" w:lineRule="auto"/>
        <w:rPr>
          <w:rFonts w:cs="Arial"/>
          <w:szCs w:val="22"/>
        </w:rPr>
      </w:pPr>
      <w:r w:rsidRPr="001254FC">
        <w:rPr>
          <w:rFonts w:cs="Arial"/>
          <w:szCs w:val="22"/>
        </w:rPr>
        <w:t xml:space="preserve">Records which are subject to a Right to Information application are to be retained for the period specified in INFORMATION MANAGEMENT of the </w:t>
      </w:r>
      <w:hyperlink r:id="rId9" w:history="1">
        <w:r w:rsidR="00A72B91" w:rsidRPr="00643409">
          <w:rPr>
            <w:rStyle w:val="Hyperlink"/>
            <w:rFonts w:cs="Arial"/>
            <w:i/>
            <w:szCs w:val="22"/>
          </w:rPr>
          <w:t>General Retention and Disposal Schedule</w:t>
        </w:r>
      </w:hyperlink>
      <w:r w:rsidR="00A72B91" w:rsidRPr="001254FC">
        <w:rPr>
          <w:rFonts w:cs="Arial"/>
          <w:szCs w:val="22"/>
        </w:rPr>
        <w:t xml:space="preserve"> </w:t>
      </w:r>
      <w:r w:rsidR="00A72B91">
        <w:rPr>
          <w:rFonts w:cs="Arial"/>
          <w:szCs w:val="22"/>
        </w:rPr>
        <w:t>i</w:t>
      </w:r>
      <w:r w:rsidRPr="001254FC">
        <w:rPr>
          <w:rFonts w:cs="Arial"/>
          <w:szCs w:val="22"/>
        </w:rPr>
        <w:t xml:space="preserve">n addition to their required retention period according to an approved retention and disposal schedule. The two periods run concurrently, and may result in a longer required retention period overall. This is in order to cover all appeal and review processes. Even though the records subject to an application may be ready for disposal according to an approved retention and disposal schedule at the time of the Right to Information application, the additional Right to Information retention requirements must still be applied. See INFORMATION MANAGEMENT of the </w:t>
      </w:r>
      <w:hyperlink r:id="rId10" w:history="1">
        <w:r w:rsidR="00A72B91" w:rsidRPr="00643409">
          <w:rPr>
            <w:rStyle w:val="Hyperlink"/>
            <w:rFonts w:cs="Arial"/>
            <w:i/>
            <w:szCs w:val="22"/>
          </w:rPr>
          <w:t>General Retention and Disposal Schedule</w:t>
        </w:r>
      </w:hyperlink>
      <w:r w:rsidR="00A72B91" w:rsidRPr="001254FC">
        <w:rPr>
          <w:rFonts w:cs="Arial"/>
          <w:szCs w:val="22"/>
        </w:rPr>
        <w:t xml:space="preserve"> </w:t>
      </w:r>
      <w:r w:rsidRPr="001254FC">
        <w:rPr>
          <w:rFonts w:cs="Arial"/>
          <w:szCs w:val="22"/>
        </w:rPr>
        <w:t>for records of Right to Information applications.</w:t>
      </w:r>
    </w:p>
    <w:p w14:paraId="125B6567" w14:textId="77777777" w:rsidR="003B02E8" w:rsidRPr="00CE340B" w:rsidRDefault="003B02E8" w:rsidP="00C613C3">
      <w:pPr>
        <w:spacing w:before="60" w:line="240" w:lineRule="auto"/>
        <w:rPr>
          <w:rFonts w:cs="Arial"/>
          <w:szCs w:val="22"/>
        </w:rPr>
      </w:pPr>
      <w:r w:rsidRPr="001254FC">
        <w:rPr>
          <w:rFonts w:cs="Arial"/>
          <w:szCs w:val="22"/>
        </w:rPr>
        <w:t xml:space="preserve">The disposal of public records should be documented in accordance with the requirements of </w:t>
      </w:r>
      <w:r w:rsidRPr="00CE340B">
        <w:rPr>
          <w:rFonts w:cs="Arial"/>
          <w:szCs w:val="22"/>
        </w:rPr>
        <w:t>Information Standard 31: Retention and Disposal of Public Records.</w:t>
      </w:r>
    </w:p>
    <w:p w14:paraId="574DD192" w14:textId="6F2DC567" w:rsidR="003B02E8" w:rsidRPr="001254FC" w:rsidRDefault="003B02E8" w:rsidP="00C613C3">
      <w:pPr>
        <w:spacing w:before="60" w:line="240" w:lineRule="auto"/>
        <w:rPr>
          <w:rFonts w:cs="Arial"/>
          <w:szCs w:val="22"/>
        </w:rPr>
      </w:pPr>
      <w:r w:rsidRPr="001254FC">
        <w:rPr>
          <w:rFonts w:cs="Arial"/>
          <w:szCs w:val="22"/>
        </w:rPr>
        <w:t>For further advice on the retention and disposal of public records under an approved retention and disposal schedule, please refer to the Queensland State Archives website or contact Agency Services at Queensland State Archives on (07) </w:t>
      </w:r>
      <w:r w:rsidR="003A19AE">
        <w:rPr>
          <w:rFonts w:cs="Arial"/>
          <w:szCs w:val="22"/>
        </w:rPr>
        <w:t>3037 6630</w:t>
      </w:r>
      <w:r w:rsidRPr="001254FC">
        <w:rPr>
          <w:rFonts w:cs="Arial"/>
          <w:szCs w:val="22"/>
        </w:rPr>
        <w:t xml:space="preserve"> or </w:t>
      </w:r>
      <w:hyperlink r:id="rId11" w:history="1">
        <w:r w:rsidRPr="001254FC">
          <w:rPr>
            <w:rStyle w:val="Hyperlink"/>
            <w:rFonts w:cs="Arial"/>
            <w:szCs w:val="22"/>
          </w:rPr>
          <w:t>rkqueries@archives.qld.gov.au</w:t>
        </w:r>
      </w:hyperlink>
      <w:bookmarkStart w:id="21" w:name="_Toc314475555"/>
      <w:r w:rsidRPr="001254FC">
        <w:rPr>
          <w:rFonts w:cs="Arial"/>
          <w:szCs w:val="22"/>
        </w:rPr>
        <w:t>.</w:t>
      </w:r>
    </w:p>
    <w:p w14:paraId="49FAF621" w14:textId="77777777" w:rsidR="003A19AE" w:rsidRDefault="003A19AE" w:rsidP="00C613C3">
      <w:pPr>
        <w:spacing w:before="60" w:line="240" w:lineRule="auto"/>
        <w:rPr>
          <w:rFonts w:cs="Arial"/>
          <w:b/>
          <w:szCs w:val="22"/>
        </w:rPr>
      </w:pPr>
    </w:p>
    <w:p w14:paraId="47B85B58" w14:textId="77777777" w:rsidR="00EC24B2" w:rsidRDefault="00EC24B2" w:rsidP="00C613C3">
      <w:pPr>
        <w:spacing w:before="60" w:line="240" w:lineRule="auto"/>
        <w:rPr>
          <w:rFonts w:cs="Arial"/>
          <w:b/>
          <w:szCs w:val="22"/>
        </w:rPr>
      </w:pPr>
    </w:p>
    <w:p w14:paraId="5F6DADDF" w14:textId="77777777" w:rsidR="003B02E8" w:rsidRPr="001254FC" w:rsidRDefault="003B02E8" w:rsidP="009969C9">
      <w:pPr>
        <w:spacing w:before="120" w:line="240" w:lineRule="auto"/>
        <w:rPr>
          <w:rFonts w:cs="Arial"/>
          <w:szCs w:val="22"/>
        </w:rPr>
      </w:pPr>
      <w:r w:rsidRPr="001254FC">
        <w:rPr>
          <w:rFonts w:cs="Arial"/>
          <w:b/>
          <w:szCs w:val="22"/>
        </w:rPr>
        <w:lastRenderedPageBreak/>
        <w:t>Records created before 1950</w:t>
      </w:r>
      <w:bookmarkEnd w:id="21"/>
    </w:p>
    <w:p w14:paraId="0DB42A11" w14:textId="6C643470" w:rsidR="003B02E8" w:rsidRPr="001254FC" w:rsidRDefault="003B02E8" w:rsidP="00C613C3">
      <w:pPr>
        <w:spacing w:before="60" w:line="240" w:lineRule="auto"/>
        <w:rPr>
          <w:rFonts w:cs="Arial"/>
          <w:szCs w:val="22"/>
        </w:rPr>
      </w:pPr>
      <w:r w:rsidRPr="001254FC">
        <w:rPr>
          <w:rFonts w:cs="Arial"/>
          <w:szCs w:val="22"/>
        </w:rPr>
        <w:t xml:space="preserve">Records described in </w:t>
      </w:r>
      <w:r w:rsidR="00312BD9">
        <w:rPr>
          <w:rFonts w:cs="Arial"/>
          <w:szCs w:val="22"/>
        </w:rPr>
        <w:t>QDAN731 v.1</w:t>
      </w:r>
      <w:r w:rsidRPr="001254FC">
        <w:rPr>
          <w:rFonts w:cs="Arial"/>
          <w:szCs w:val="22"/>
        </w:rPr>
        <w:t xml:space="preserve"> that were created before 1950 should be referred to Queensland State Archives for further appraisal before any disposal action is taken by the </w:t>
      </w:r>
      <w:r w:rsidR="00A72B91">
        <w:rPr>
          <w:rFonts w:cs="Arial"/>
          <w:szCs w:val="22"/>
        </w:rPr>
        <w:t>agency</w:t>
      </w:r>
      <w:r w:rsidRPr="001254FC">
        <w:rPr>
          <w:rFonts w:cs="Arial"/>
          <w:szCs w:val="22"/>
        </w:rPr>
        <w:t xml:space="preserve">. For further advice please refer to the Public Records Brief: </w:t>
      </w:r>
      <w:hyperlink r:id="rId12" w:history="1">
        <w:r w:rsidRPr="001254FC">
          <w:rPr>
            <w:rStyle w:val="Hyperlink"/>
            <w:rFonts w:cs="Arial"/>
            <w:i/>
            <w:szCs w:val="22"/>
          </w:rPr>
          <w:t>Pre-1950s public records</w:t>
        </w:r>
      </w:hyperlink>
      <w:r w:rsidRPr="001254FC">
        <w:rPr>
          <w:rFonts w:cs="Arial"/>
          <w:szCs w:val="22"/>
        </w:rPr>
        <w:t xml:space="preserve"> which is available from the Queensland State Archives website.</w:t>
      </w:r>
    </w:p>
    <w:p w14:paraId="53BE90C9" w14:textId="77777777" w:rsidR="003B02E8" w:rsidRPr="001254FC" w:rsidRDefault="003B02E8" w:rsidP="009969C9">
      <w:pPr>
        <w:spacing w:before="120" w:line="240" w:lineRule="auto"/>
        <w:rPr>
          <w:rFonts w:cs="Arial"/>
          <w:szCs w:val="22"/>
        </w:rPr>
      </w:pPr>
      <w:bookmarkStart w:id="22" w:name="OLE_LINK1"/>
      <w:bookmarkStart w:id="23" w:name="OLE_LINK2"/>
      <w:r w:rsidRPr="001254FC">
        <w:rPr>
          <w:rFonts w:cs="Arial"/>
          <w:b/>
          <w:szCs w:val="22"/>
        </w:rPr>
        <w:t>Transfer of public records to Queensland State Archives</w:t>
      </w:r>
    </w:p>
    <w:p w14:paraId="50C55B37" w14:textId="3070E1E6" w:rsidR="003B02E8" w:rsidRPr="001254FC" w:rsidRDefault="003B02E8" w:rsidP="00C613C3">
      <w:pPr>
        <w:spacing w:before="60" w:line="240" w:lineRule="auto"/>
        <w:rPr>
          <w:rFonts w:cs="Arial"/>
          <w:szCs w:val="22"/>
        </w:rPr>
      </w:pPr>
      <w:r w:rsidRPr="001254FC">
        <w:rPr>
          <w:rFonts w:cs="Arial"/>
          <w:szCs w:val="22"/>
        </w:rPr>
        <w:t>Records covered by a class with the disposal action of ‘Retain permanently’ should be transferred to Queensland State Archives with the approval of the State Archivist. Records covered by a class with the disposal action of 'Retain permanently</w:t>
      </w:r>
      <w:r w:rsidR="00CE340B">
        <w:rPr>
          <w:rFonts w:cs="Arial"/>
          <w:szCs w:val="22"/>
        </w:rPr>
        <w:t>’</w:t>
      </w:r>
      <w:r w:rsidRPr="001254FC">
        <w:rPr>
          <w:rFonts w:cs="Arial"/>
          <w:szCs w:val="22"/>
        </w:rPr>
        <w:t xml:space="preserve"> by the Queensland Civil and Administrative Tribunal are not eligible for transfer to Queensland State Archives unless re-appraised and assigned a disposal action of 'Retain permanently'.</w:t>
      </w:r>
    </w:p>
    <w:p w14:paraId="3E4931E9" w14:textId="6B78AA11" w:rsidR="003B02E8" w:rsidRPr="001254FC" w:rsidRDefault="003B02E8" w:rsidP="00C613C3">
      <w:pPr>
        <w:spacing w:before="60" w:line="240" w:lineRule="auto"/>
        <w:rPr>
          <w:rFonts w:cs="Arial"/>
          <w:szCs w:val="22"/>
        </w:rPr>
      </w:pPr>
      <w:r w:rsidRPr="001254FC">
        <w:rPr>
          <w:rFonts w:cs="Arial"/>
          <w:szCs w:val="22"/>
        </w:rPr>
        <w:t xml:space="preserve">Agencies are required to submit a transfer proposal containing details of the records under consideration for transfer. Queensland State Archives will assess the transfer proposal before formal approval to transfer is issued. Please refer to the Guideline on </w:t>
      </w:r>
      <w:hyperlink r:id="rId13" w:history="1">
        <w:r w:rsidRPr="001254FC">
          <w:rPr>
            <w:rStyle w:val="Hyperlink"/>
            <w:rFonts w:cs="Arial"/>
            <w:i/>
            <w:szCs w:val="22"/>
          </w:rPr>
          <w:t>Transferring Public Records to Queensland State Archives</w:t>
        </w:r>
      </w:hyperlink>
      <w:r w:rsidRPr="001254FC">
        <w:rPr>
          <w:rFonts w:cs="Arial"/>
          <w:szCs w:val="22"/>
        </w:rPr>
        <w:t xml:space="preserve"> available from the Queensland State Archives website. The State Archivist reserves the right to revise any previous decisions made with regard to the appraisal and transfer of records. Contact Agency Services at Queensland State Archives on (07) </w:t>
      </w:r>
      <w:r w:rsidR="003A19AE">
        <w:rPr>
          <w:rFonts w:cs="Arial"/>
          <w:szCs w:val="22"/>
        </w:rPr>
        <w:t>3037 6630</w:t>
      </w:r>
      <w:r w:rsidRPr="001254FC">
        <w:rPr>
          <w:rFonts w:cs="Arial"/>
          <w:szCs w:val="22"/>
        </w:rPr>
        <w:t xml:space="preserve"> or </w:t>
      </w:r>
      <w:hyperlink r:id="rId14" w:history="1">
        <w:r w:rsidRPr="001254FC">
          <w:rPr>
            <w:rStyle w:val="Hyperlink"/>
            <w:rFonts w:cs="Arial"/>
            <w:szCs w:val="22"/>
          </w:rPr>
          <w:t>rkqueries@archives.qld.gov.au</w:t>
        </w:r>
      </w:hyperlink>
      <w:r w:rsidRPr="001254FC">
        <w:rPr>
          <w:rFonts w:cs="Arial"/>
          <w:szCs w:val="22"/>
        </w:rPr>
        <w:t xml:space="preserve"> for further details</w:t>
      </w:r>
      <w:bookmarkStart w:id="24" w:name="_Toc314475556"/>
      <w:bookmarkEnd w:id="22"/>
      <w:bookmarkEnd w:id="23"/>
      <w:r w:rsidRPr="001254FC">
        <w:rPr>
          <w:rFonts w:cs="Arial"/>
          <w:szCs w:val="22"/>
        </w:rPr>
        <w:t>.</w:t>
      </w:r>
    </w:p>
    <w:bookmarkEnd w:id="24"/>
    <w:p w14:paraId="190C84D3" w14:textId="77777777" w:rsidR="006A7BB9" w:rsidRPr="004977CE" w:rsidRDefault="006A7BB9" w:rsidP="00C613C3">
      <w:pPr>
        <w:spacing w:before="60"/>
      </w:pPr>
    </w:p>
    <w:p w14:paraId="10504994" w14:textId="77777777" w:rsidR="006A7BB9" w:rsidRPr="004977CE" w:rsidRDefault="006A7BB9" w:rsidP="00C613C3">
      <w:pPr>
        <w:pStyle w:val="Heading1"/>
        <w:spacing w:before="60" w:after="60"/>
      </w:pPr>
      <w:r w:rsidRPr="004977CE">
        <w:br w:type="page"/>
      </w:r>
      <w:bookmarkStart w:id="25" w:name="_Toc314475557"/>
      <w:bookmarkStart w:id="26" w:name="_Toc336267549"/>
      <w:r w:rsidRPr="004977CE">
        <w:lastRenderedPageBreak/>
        <w:t>Contents</w:t>
      </w:r>
      <w:bookmarkEnd w:id="25"/>
      <w:bookmarkEnd w:id="26"/>
    </w:p>
    <w:p w14:paraId="4D38E04E" w14:textId="77777777" w:rsidR="00EC24B2" w:rsidRPr="00E56F64" w:rsidRDefault="006A7BB9" w:rsidP="00E56F64">
      <w:pPr>
        <w:tabs>
          <w:tab w:val="right" w:leader="dot" w:pos="14742"/>
        </w:tabs>
        <w:rPr>
          <w:rFonts w:asciiTheme="minorHAnsi" w:eastAsiaTheme="minorEastAsia" w:hAnsiTheme="minorHAnsi" w:cstheme="minorBidi"/>
          <w:b/>
          <w:bCs/>
          <w:noProof/>
          <w:color w:val="808080"/>
          <w:sz w:val="24"/>
        </w:rPr>
      </w:pPr>
      <w:r w:rsidRPr="00E56F64">
        <w:rPr>
          <w:rFonts w:cs="Arial"/>
          <w:b/>
          <w:bCs/>
          <w:color w:val="808080"/>
          <w:sz w:val="24"/>
          <w:u w:val="single"/>
          <w:lang w:eastAsia="en-AU"/>
        </w:rPr>
        <w:fldChar w:fldCharType="begin"/>
      </w:r>
      <w:r w:rsidRPr="00E56F64">
        <w:rPr>
          <w:b/>
          <w:color w:val="808080"/>
          <w:sz w:val="24"/>
          <w:u w:val="single"/>
        </w:rPr>
        <w:instrText xml:space="preserve"> TOC \o "2-2" \u </w:instrText>
      </w:r>
      <w:r w:rsidRPr="00E56F64">
        <w:rPr>
          <w:rFonts w:cs="Arial"/>
          <w:b/>
          <w:bCs/>
          <w:color w:val="808080"/>
          <w:sz w:val="24"/>
          <w:u w:val="single"/>
          <w:lang w:eastAsia="en-AU"/>
        </w:rPr>
        <w:fldChar w:fldCharType="separate"/>
      </w:r>
      <w:r w:rsidR="00EC24B2" w:rsidRPr="00E56F64">
        <w:rPr>
          <w:b/>
          <w:noProof/>
          <w:color w:val="808080"/>
          <w:sz w:val="24"/>
        </w:rPr>
        <w:t xml:space="preserve">1. QCAT </w:t>
      </w:r>
      <w:r w:rsidR="00EC24B2" w:rsidRPr="00E56F64">
        <w:rPr>
          <w:b/>
          <w:caps/>
          <w:noProof/>
          <w:color w:val="808080"/>
          <w:sz w:val="24"/>
        </w:rPr>
        <w:t>CASE MANAGEMENT</w:t>
      </w:r>
      <w:r w:rsidR="00EC24B2" w:rsidRPr="00E56F64">
        <w:rPr>
          <w:b/>
          <w:noProof/>
          <w:color w:val="808080"/>
          <w:sz w:val="24"/>
        </w:rPr>
        <w:tab/>
      </w:r>
      <w:r w:rsidR="00EC24B2" w:rsidRPr="00E56F64">
        <w:rPr>
          <w:b/>
          <w:noProof/>
          <w:color w:val="808080"/>
          <w:sz w:val="24"/>
        </w:rPr>
        <w:fldChar w:fldCharType="begin"/>
      </w:r>
      <w:r w:rsidR="00EC24B2" w:rsidRPr="00E56F64">
        <w:rPr>
          <w:b/>
          <w:noProof/>
          <w:color w:val="808080"/>
          <w:sz w:val="24"/>
        </w:rPr>
        <w:instrText xml:space="preserve"> PAGEREF _Toc456614290 \h </w:instrText>
      </w:r>
      <w:r w:rsidR="00EC24B2" w:rsidRPr="00E56F64">
        <w:rPr>
          <w:b/>
          <w:noProof/>
          <w:color w:val="808080"/>
          <w:sz w:val="24"/>
        </w:rPr>
      </w:r>
      <w:r w:rsidR="00EC24B2" w:rsidRPr="00E56F64">
        <w:rPr>
          <w:b/>
          <w:noProof/>
          <w:color w:val="808080"/>
          <w:sz w:val="24"/>
        </w:rPr>
        <w:fldChar w:fldCharType="separate"/>
      </w:r>
      <w:r w:rsidR="00EC24B2" w:rsidRPr="00E56F64">
        <w:rPr>
          <w:b/>
          <w:noProof/>
          <w:color w:val="808080"/>
          <w:sz w:val="24"/>
        </w:rPr>
        <w:t>5</w:t>
      </w:r>
      <w:r w:rsidR="00EC24B2" w:rsidRPr="00E56F64">
        <w:rPr>
          <w:b/>
          <w:noProof/>
          <w:color w:val="808080"/>
          <w:sz w:val="24"/>
        </w:rPr>
        <w:fldChar w:fldCharType="end"/>
      </w:r>
    </w:p>
    <w:p w14:paraId="1A01DF3D" w14:textId="77777777" w:rsidR="00EC24B2" w:rsidRPr="00E56F64" w:rsidRDefault="00EC24B2" w:rsidP="00E56F64">
      <w:pPr>
        <w:tabs>
          <w:tab w:val="right" w:leader="dot" w:pos="14742"/>
        </w:tabs>
        <w:rPr>
          <w:rFonts w:asciiTheme="minorHAnsi" w:eastAsiaTheme="minorEastAsia" w:hAnsiTheme="minorHAnsi" w:cstheme="minorBidi"/>
          <w:b/>
          <w:bCs/>
          <w:noProof/>
          <w:color w:val="808080"/>
          <w:sz w:val="24"/>
        </w:rPr>
      </w:pPr>
      <w:r w:rsidRPr="00E56F64">
        <w:rPr>
          <w:b/>
          <w:noProof/>
          <w:color w:val="808080"/>
          <w:sz w:val="24"/>
        </w:rPr>
        <w:t>2. QCAT MANAGEMENT</w:t>
      </w:r>
      <w:r w:rsidRPr="00E56F64">
        <w:rPr>
          <w:b/>
          <w:noProof/>
          <w:color w:val="808080"/>
          <w:sz w:val="24"/>
        </w:rPr>
        <w:tab/>
      </w:r>
      <w:r w:rsidRPr="00E56F64">
        <w:rPr>
          <w:b/>
          <w:noProof/>
          <w:color w:val="808080"/>
          <w:sz w:val="24"/>
        </w:rPr>
        <w:fldChar w:fldCharType="begin"/>
      </w:r>
      <w:r w:rsidRPr="00E56F64">
        <w:rPr>
          <w:b/>
          <w:noProof/>
          <w:color w:val="808080"/>
          <w:sz w:val="24"/>
        </w:rPr>
        <w:instrText xml:space="preserve"> PAGEREF _Toc456614291 \h </w:instrText>
      </w:r>
      <w:r w:rsidRPr="00E56F64">
        <w:rPr>
          <w:b/>
          <w:noProof/>
          <w:color w:val="808080"/>
          <w:sz w:val="24"/>
        </w:rPr>
      </w:r>
      <w:r w:rsidRPr="00E56F64">
        <w:rPr>
          <w:b/>
          <w:noProof/>
          <w:color w:val="808080"/>
          <w:sz w:val="24"/>
        </w:rPr>
        <w:fldChar w:fldCharType="separate"/>
      </w:r>
      <w:r w:rsidRPr="00E56F64">
        <w:rPr>
          <w:b/>
          <w:noProof/>
          <w:color w:val="808080"/>
          <w:sz w:val="24"/>
        </w:rPr>
        <w:t>13</w:t>
      </w:r>
      <w:r w:rsidRPr="00E56F64">
        <w:rPr>
          <w:b/>
          <w:noProof/>
          <w:color w:val="808080"/>
          <w:sz w:val="24"/>
        </w:rPr>
        <w:fldChar w:fldCharType="end"/>
      </w:r>
    </w:p>
    <w:p w14:paraId="54DDE4E6" w14:textId="77777777" w:rsidR="00EC24B2" w:rsidRPr="00E56F64" w:rsidRDefault="00EC24B2" w:rsidP="00E56F64">
      <w:pPr>
        <w:tabs>
          <w:tab w:val="right" w:leader="dot" w:pos="14742"/>
        </w:tabs>
        <w:rPr>
          <w:rFonts w:asciiTheme="minorHAnsi" w:eastAsiaTheme="minorEastAsia" w:hAnsiTheme="minorHAnsi" w:cstheme="minorBidi"/>
          <w:b/>
          <w:bCs/>
          <w:noProof/>
          <w:color w:val="808080"/>
          <w:sz w:val="24"/>
        </w:rPr>
      </w:pPr>
      <w:r w:rsidRPr="00E56F64">
        <w:rPr>
          <w:b/>
          <w:noProof/>
          <w:color w:val="808080"/>
          <w:sz w:val="24"/>
        </w:rPr>
        <w:t>3. LEGACY RECORDS</w:t>
      </w:r>
      <w:r w:rsidRPr="00E56F64">
        <w:rPr>
          <w:b/>
          <w:noProof/>
          <w:color w:val="808080"/>
          <w:sz w:val="24"/>
        </w:rPr>
        <w:tab/>
      </w:r>
      <w:r w:rsidRPr="00E56F64">
        <w:rPr>
          <w:b/>
          <w:noProof/>
          <w:color w:val="808080"/>
          <w:sz w:val="24"/>
        </w:rPr>
        <w:fldChar w:fldCharType="begin"/>
      </w:r>
      <w:r w:rsidRPr="00E56F64">
        <w:rPr>
          <w:b/>
          <w:noProof/>
          <w:color w:val="808080"/>
          <w:sz w:val="24"/>
        </w:rPr>
        <w:instrText xml:space="preserve"> PAGEREF _Toc456614292 \h </w:instrText>
      </w:r>
      <w:r w:rsidRPr="00E56F64">
        <w:rPr>
          <w:b/>
          <w:noProof/>
          <w:color w:val="808080"/>
          <w:sz w:val="24"/>
        </w:rPr>
      </w:r>
      <w:r w:rsidRPr="00E56F64">
        <w:rPr>
          <w:b/>
          <w:noProof/>
          <w:color w:val="808080"/>
          <w:sz w:val="24"/>
        </w:rPr>
        <w:fldChar w:fldCharType="separate"/>
      </w:r>
      <w:r w:rsidRPr="00E56F64">
        <w:rPr>
          <w:b/>
          <w:noProof/>
          <w:color w:val="808080"/>
          <w:sz w:val="24"/>
        </w:rPr>
        <w:t>15</w:t>
      </w:r>
      <w:r w:rsidRPr="00E56F64">
        <w:rPr>
          <w:b/>
          <w:noProof/>
          <w:color w:val="808080"/>
          <w:sz w:val="24"/>
        </w:rPr>
        <w:fldChar w:fldCharType="end"/>
      </w:r>
    </w:p>
    <w:p w14:paraId="5B9E697B" w14:textId="77777777" w:rsidR="006A7BB9" w:rsidRPr="004977CE" w:rsidRDefault="006A7BB9" w:rsidP="00E56F64">
      <w:pPr>
        <w:tabs>
          <w:tab w:val="right" w:leader="dot" w:pos="14742"/>
        </w:tabs>
      </w:pPr>
      <w:r w:rsidRPr="00E56F64">
        <w:rPr>
          <w:b/>
          <w:color w:val="808080"/>
          <w:sz w:val="24"/>
          <w:u w:val="single"/>
        </w:rPr>
        <w:fldChar w:fldCharType="end"/>
      </w:r>
    </w:p>
    <w:p w14:paraId="67418D24" w14:textId="2C5B3CDE" w:rsidR="003B02E8" w:rsidRPr="0077112B" w:rsidRDefault="006A7BB9" w:rsidP="00C613C3">
      <w:pPr>
        <w:pStyle w:val="Heading1"/>
        <w:spacing w:before="60" w:after="60" w:line="240" w:lineRule="auto"/>
        <w:rPr>
          <w:b w:val="0"/>
          <w:szCs w:val="36"/>
        </w:rPr>
      </w:pPr>
      <w:r w:rsidRPr="004977CE">
        <w:br w:type="page"/>
      </w:r>
      <w:bookmarkStart w:id="27" w:name="_Toc456614290"/>
      <w:r w:rsidRPr="0077112B">
        <w:rPr>
          <w:rStyle w:val="Heading2Char"/>
          <w:b/>
          <w:color w:val="auto"/>
          <w:sz w:val="36"/>
          <w:szCs w:val="36"/>
        </w:rPr>
        <w:lastRenderedPageBreak/>
        <w:t xml:space="preserve">1. </w:t>
      </w:r>
      <w:r w:rsidR="005D6842" w:rsidRPr="0077112B">
        <w:rPr>
          <w:rStyle w:val="Heading2Char"/>
          <w:b/>
          <w:color w:val="auto"/>
          <w:sz w:val="36"/>
          <w:szCs w:val="36"/>
        </w:rPr>
        <w:t xml:space="preserve">QCAT </w:t>
      </w:r>
      <w:r w:rsidR="00835E8A" w:rsidRPr="0077112B">
        <w:rPr>
          <w:rStyle w:val="Heading2Char"/>
          <w:b/>
          <w:caps/>
          <w:color w:val="auto"/>
          <w:sz w:val="36"/>
          <w:szCs w:val="36"/>
        </w:rPr>
        <w:t>CASE MANAGEMENT</w:t>
      </w:r>
      <w:bookmarkEnd w:id="27"/>
    </w:p>
    <w:p w14:paraId="58D088C6" w14:textId="39D8E230" w:rsidR="003B02E8" w:rsidRDefault="003B02E8" w:rsidP="00C613C3">
      <w:pPr>
        <w:spacing w:before="60" w:line="240" w:lineRule="auto"/>
        <w:rPr>
          <w:rFonts w:cs="Arial"/>
          <w:i/>
          <w:szCs w:val="22"/>
          <w:lang w:eastAsia="en-AU"/>
        </w:rPr>
      </w:pPr>
      <w:r w:rsidRPr="005E696C">
        <w:rPr>
          <w:rFonts w:cs="Arial"/>
          <w:i/>
          <w:szCs w:val="22"/>
          <w:lang w:eastAsia="en-AU"/>
        </w:rPr>
        <w:t xml:space="preserve">The </w:t>
      </w:r>
      <w:r>
        <w:rPr>
          <w:rFonts w:cs="Arial"/>
          <w:i/>
          <w:szCs w:val="22"/>
          <w:lang w:eastAsia="en-AU"/>
        </w:rPr>
        <w:t>core business</w:t>
      </w:r>
      <w:r w:rsidRPr="005E696C">
        <w:rPr>
          <w:rFonts w:cs="Arial"/>
          <w:i/>
          <w:szCs w:val="22"/>
          <w:lang w:eastAsia="en-AU"/>
        </w:rPr>
        <w:t xml:space="preserve"> of </w:t>
      </w:r>
      <w:r>
        <w:rPr>
          <w:rFonts w:cs="Arial"/>
          <w:i/>
          <w:szCs w:val="22"/>
          <w:lang w:eastAsia="en-AU"/>
        </w:rPr>
        <w:t xml:space="preserve">resolving disputes and making decisions. QCAT makes decisions across a range of matters including anti-discrimination, guardianship and administration for adults, children and young people, civil, administrative and disciplinary.  </w:t>
      </w:r>
    </w:p>
    <w:p w14:paraId="531C06F2" w14:textId="77777777" w:rsidR="003B02E8" w:rsidRDefault="003B02E8" w:rsidP="00C613C3">
      <w:pPr>
        <w:spacing w:before="60" w:line="240" w:lineRule="auto"/>
        <w:rPr>
          <w:rFonts w:cs="Arial"/>
          <w:i/>
          <w:szCs w:val="22"/>
          <w:lang w:eastAsia="en-AU"/>
        </w:rPr>
      </w:pPr>
      <w:r>
        <w:rPr>
          <w:rFonts w:cs="Arial"/>
          <w:i/>
          <w:szCs w:val="22"/>
          <w:lang w:eastAsia="en-AU"/>
        </w:rPr>
        <w:t>The activities include:</w:t>
      </w:r>
    </w:p>
    <w:p w14:paraId="754344C8" w14:textId="77777777" w:rsidR="003B02E8" w:rsidRDefault="003B02E8" w:rsidP="00C613C3">
      <w:pPr>
        <w:numPr>
          <w:ilvl w:val="0"/>
          <w:numId w:val="7"/>
        </w:numPr>
        <w:spacing w:before="60" w:line="240" w:lineRule="auto"/>
        <w:rPr>
          <w:rFonts w:cs="Arial"/>
          <w:i/>
          <w:szCs w:val="22"/>
          <w:lang w:eastAsia="en-AU"/>
        </w:rPr>
      </w:pPr>
      <w:r>
        <w:rPr>
          <w:rFonts w:cs="Arial"/>
          <w:i/>
          <w:szCs w:val="22"/>
          <w:lang w:eastAsia="en-AU"/>
        </w:rPr>
        <w:t>handling enquiries and consultations with stakeholders</w:t>
      </w:r>
    </w:p>
    <w:p w14:paraId="30B2A8D0" w14:textId="77777777" w:rsidR="003B02E8" w:rsidRDefault="003B02E8" w:rsidP="00C613C3">
      <w:pPr>
        <w:numPr>
          <w:ilvl w:val="0"/>
          <w:numId w:val="7"/>
        </w:numPr>
        <w:spacing w:before="60" w:line="240" w:lineRule="auto"/>
        <w:rPr>
          <w:rFonts w:cs="Arial"/>
          <w:i/>
          <w:szCs w:val="22"/>
          <w:lang w:eastAsia="en-AU"/>
        </w:rPr>
      </w:pPr>
      <w:r>
        <w:rPr>
          <w:rFonts w:cs="Arial"/>
          <w:i/>
          <w:szCs w:val="22"/>
          <w:lang w:eastAsia="en-AU"/>
        </w:rPr>
        <w:t xml:space="preserve">receipt and initial assessment of applications </w:t>
      </w:r>
    </w:p>
    <w:p w14:paraId="51030CA7" w14:textId="77777777" w:rsidR="003B02E8" w:rsidRDefault="003B02E8" w:rsidP="00C613C3">
      <w:pPr>
        <w:numPr>
          <w:ilvl w:val="0"/>
          <w:numId w:val="7"/>
        </w:numPr>
        <w:spacing w:before="60" w:line="240" w:lineRule="auto"/>
        <w:rPr>
          <w:rFonts w:cs="Arial"/>
          <w:i/>
          <w:szCs w:val="22"/>
          <w:lang w:eastAsia="en-AU"/>
        </w:rPr>
      </w:pPr>
      <w:r>
        <w:rPr>
          <w:rFonts w:cs="Arial"/>
          <w:i/>
          <w:szCs w:val="22"/>
          <w:lang w:eastAsia="en-AU"/>
        </w:rPr>
        <w:t>monitoring of case progress</w:t>
      </w:r>
    </w:p>
    <w:p w14:paraId="7D093B61" w14:textId="77777777" w:rsidR="003B02E8" w:rsidRDefault="003B02E8" w:rsidP="00C613C3">
      <w:pPr>
        <w:numPr>
          <w:ilvl w:val="0"/>
          <w:numId w:val="7"/>
        </w:numPr>
        <w:spacing w:before="60" w:line="240" w:lineRule="auto"/>
        <w:rPr>
          <w:rFonts w:cs="Arial"/>
          <w:i/>
          <w:szCs w:val="22"/>
          <w:lang w:eastAsia="en-AU"/>
        </w:rPr>
      </w:pPr>
      <w:r>
        <w:rPr>
          <w:rFonts w:cs="Arial"/>
          <w:i/>
          <w:szCs w:val="22"/>
          <w:lang w:eastAsia="en-AU"/>
        </w:rPr>
        <w:t>conducting research</w:t>
      </w:r>
    </w:p>
    <w:p w14:paraId="6637FAD6" w14:textId="77777777" w:rsidR="003B02E8" w:rsidRDefault="003B02E8" w:rsidP="00C613C3">
      <w:pPr>
        <w:numPr>
          <w:ilvl w:val="0"/>
          <w:numId w:val="7"/>
        </w:numPr>
        <w:spacing w:before="60" w:line="240" w:lineRule="auto"/>
        <w:rPr>
          <w:rFonts w:cs="Arial"/>
          <w:i/>
          <w:szCs w:val="22"/>
          <w:lang w:eastAsia="en-AU"/>
        </w:rPr>
      </w:pPr>
      <w:r>
        <w:rPr>
          <w:rFonts w:cs="Arial"/>
          <w:i/>
          <w:szCs w:val="22"/>
          <w:lang w:eastAsia="en-AU"/>
        </w:rPr>
        <w:t>providing procedural advice to parties</w:t>
      </w:r>
    </w:p>
    <w:p w14:paraId="0C9ED4AA" w14:textId="77777777" w:rsidR="003B02E8" w:rsidRDefault="003B02E8" w:rsidP="00C613C3">
      <w:pPr>
        <w:numPr>
          <w:ilvl w:val="0"/>
          <w:numId w:val="7"/>
        </w:numPr>
        <w:spacing w:before="60" w:line="240" w:lineRule="auto"/>
        <w:rPr>
          <w:rFonts w:cs="Arial"/>
          <w:i/>
          <w:szCs w:val="22"/>
          <w:lang w:eastAsia="en-AU"/>
        </w:rPr>
      </w:pPr>
      <w:r>
        <w:rPr>
          <w:rFonts w:cs="Arial"/>
          <w:i/>
          <w:szCs w:val="22"/>
          <w:lang w:eastAsia="en-AU"/>
        </w:rPr>
        <w:t>arranging and conducting hearings, security or interpreter services</w:t>
      </w:r>
    </w:p>
    <w:p w14:paraId="445126F8" w14:textId="77777777" w:rsidR="003B02E8" w:rsidRDefault="003B02E8" w:rsidP="00C613C3">
      <w:pPr>
        <w:numPr>
          <w:ilvl w:val="0"/>
          <w:numId w:val="7"/>
        </w:numPr>
        <w:spacing w:before="60" w:line="240" w:lineRule="auto"/>
        <w:rPr>
          <w:rFonts w:cs="Arial"/>
          <w:i/>
          <w:szCs w:val="22"/>
          <w:lang w:eastAsia="en-AU"/>
        </w:rPr>
      </w:pPr>
      <w:r>
        <w:rPr>
          <w:rFonts w:cs="Arial"/>
          <w:i/>
          <w:szCs w:val="22"/>
          <w:lang w:eastAsia="en-AU"/>
        </w:rPr>
        <w:t>referral of cases or matters to higher appeal bodies</w:t>
      </w:r>
    </w:p>
    <w:p w14:paraId="7850CE2F" w14:textId="77777777" w:rsidR="003B02E8" w:rsidRDefault="003B02E8" w:rsidP="00C613C3">
      <w:pPr>
        <w:numPr>
          <w:ilvl w:val="0"/>
          <w:numId w:val="7"/>
        </w:numPr>
        <w:spacing w:before="60" w:line="240" w:lineRule="auto"/>
        <w:rPr>
          <w:rFonts w:cs="Arial"/>
          <w:i/>
          <w:szCs w:val="22"/>
          <w:lang w:eastAsia="en-AU"/>
        </w:rPr>
      </w:pPr>
      <w:r>
        <w:rPr>
          <w:rFonts w:cs="Arial"/>
          <w:i/>
          <w:szCs w:val="22"/>
          <w:lang w:eastAsia="en-AU"/>
        </w:rPr>
        <w:t>finalisation of applications/cases/review including notifying parties and other stakeholders.</w:t>
      </w:r>
    </w:p>
    <w:p w14:paraId="2875F1AC" w14:textId="21674599" w:rsidR="005D3BC2" w:rsidRDefault="005D3BC2" w:rsidP="00C613C3">
      <w:pPr>
        <w:spacing w:before="60" w:line="240" w:lineRule="auto"/>
        <w:rPr>
          <w:rFonts w:cs="Arial"/>
          <w:i/>
          <w:szCs w:val="22"/>
          <w:lang w:eastAsia="en-AU"/>
        </w:rPr>
      </w:pPr>
      <w:r>
        <w:rPr>
          <w:rFonts w:cs="Arial"/>
          <w:i/>
          <w:szCs w:val="22"/>
          <w:lang w:eastAsia="en-AU"/>
        </w:rPr>
        <w:t>Includes those cases that are heard via the Alternative Dispute Resolution service, e.g. mediation or compulsory conferences.</w:t>
      </w:r>
    </w:p>
    <w:p w14:paraId="4F02D5F6" w14:textId="33E5E92D" w:rsidR="00C66E94" w:rsidRPr="00804088" w:rsidRDefault="0077112B" w:rsidP="00C613C3">
      <w:pPr>
        <w:spacing w:before="60" w:line="240" w:lineRule="auto"/>
        <w:rPr>
          <w:rFonts w:cs="Arial"/>
          <w:i/>
          <w:szCs w:val="22"/>
          <w:lang w:eastAsia="en-AU"/>
        </w:rPr>
      </w:pPr>
      <w:r w:rsidRPr="00804088">
        <w:rPr>
          <w:rFonts w:cs="Arial"/>
          <w:i/>
          <w:szCs w:val="22"/>
          <w:lang w:eastAsia="en-AU"/>
        </w:rPr>
        <w:t xml:space="preserve">See </w:t>
      </w:r>
      <w:hyperlink w:anchor="PermanentCaseManagementFiles" w:history="1">
        <w:r w:rsidRPr="00804088">
          <w:rPr>
            <w:rStyle w:val="Hyperlink"/>
            <w:rFonts w:cs="Arial"/>
            <w:i/>
            <w:szCs w:val="22"/>
            <w:lang w:eastAsia="en-AU"/>
          </w:rPr>
          <w:t>QCAT Management – Permanent case management files</w:t>
        </w:r>
      </w:hyperlink>
      <w:r w:rsidRPr="00804088">
        <w:rPr>
          <w:rFonts w:cs="Arial"/>
          <w:i/>
          <w:szCs w:val="22"/>
          <w:lang w:eastAsia="en-AU"/>
        </w:rPr>
        <w:t xml:space="preserve"> for those records relating to </w:t>
      </w:r>
      <w:r w:rsidR="00804088" w:rsidRPr="00804088">
        <w:rPr>
          <w:rFonts w:cs="Arial"/>
          <w:i/>
          <w:szCs w:val="22"/>
          <w:lang w:eastAsia="en-AU"/>
        </w:rPr>
        <w:t>those matters that have been deemed permanent by the President or Principal Registrar.</w:t>
      </w:r>
    </w:p>
    <w:p w14:paraId="75921DA6" w14:textId="77777777" w:rsidR="003A19AE" w:rsidRPr="00C66E94" w:rsidRDefault="003A19AE" w:rsidP="00C613C3">
      <w:pPr>
        <w:spacing w:before="60" w:line="240" w:lineRule="auto"/>
        <w:rPr>
          <w:rFonts w:cs="Arial"/>
          <w:i/>
          <w:szCs w:val="22"/>
          <w:lang w:eastAsia="en-AU"/>
        </w:rPr>
      </w:pPr>
    </w:p>
    <w:tbl>
      <w:tblPr>
        <w:tblStyle w:val="Table-LowInk"/>
        <w:tblW w:w="5000" w:type="pct"/>
        <w:tblLook w:val="01E0" w:firstRow="1" w:lastRow="1" w:firstColumn="1" w:lastColumn="1" w:noHBand="0" w:noVBand="0"/>
      </w:tblPr>
      <w:tblGrid>
        <w:gridCol w:w="1212"/>
        <w:gridCol w:w="8707"/>
        <w:gridCol w:w="2127"/>
        <w:gridCol w:w="3080"/>
      </w:tblGrid>
      <w:tr w:rsidR="006A7BB9" w:rsidRPr="004977CE" w14:paraId="116A10BD" w14:textId="77777777" w:rsidTr="00563DC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1" w:type="pct"/>
          </w:tcPr>
          <w:p w14:paraId="3AD725FE" w14:textId="77777777" w:rsidR="006A7BB9" w:rsidRPr="00BD4C41" w:rsidRDefault="006A7BB9" w:rsidP="00C613C3">
            <w:pPr>
              <w:pStyle w:val="Tabletext"/>
              <w:spacing w:before="60" w:after="60" w:line="240" w:lineRule="auto"/>
              <w:jc w:val="center"/>
            </w:pPr>
            <w:r w:rsidRPr="00BD4C41">
              <w:t>Reference</w:t>
            </w:r>
          </w:p>
        </w:tc>
        <w:tc>
          <w:tcPr>
            <w:tcW w:w="2878" w:type="pct"/>
          </w:tcPr>
          <w:p w14:paraId="6AD96321" w14:textId="77777777" w:rsidR="006A7BB9" w:rsidRPr="00BD4C41" w:rsidRDefault="006A7BB9" w:rsidP="00C613C3">
            <w:pPr>
              <w:pStyle w:val="Tabletext"/>
              <w:spacing w:before="60" w:after="60" w:line="240" w:lineRule="auto"/>
              <w:jc w:val="center"/>
              <w:cnfStyle w:val="100000000000" w:firstRow="1" w:lastRow="0" w:firstColumn="0" w:lastColumn="0" w:oddVBand="0" w:evenVBand="0" w:oddHBand="0" w:evenHBand="0" w:firstRowFirstColumn="0" w:firstRowLastColumn="0" w:lastRowFirstColumn="0" w:lastRowLastColumn="0"/>
            </w:pPr>
            <w:r w:rsidRPr="00BD4C41">
              <w:t>Description of records</w:t>
            </w:r>
          </w:p>
        </w:tc>
        <w:tc>
          <w:tcPr>
            <w:tcW w:w="703" w:type="pct"/>
          </w:tcPr>
          <w:p w14:paraId="30BCCB5F" w14:textId="77777777" w:rsidR="006A7BB9" w:rsidRPr="00BD4C41" w:rsidRDefault="006A7BB9" w:rsidP="00C613C3">
            <w:pPr>
              <w:pStyle w:val="Tabletext"/>
              <w:spacing w:before="60" w:after="60" w:line="240" w:lineRule="auto"/>
              <w:jc w:val="center"/>
              <w:cnfStyle w:val="100000000000" w:firstRow="1" w:lastRow="0" w:firstColumn="0" w:lastColumn="0" w:oddVBand="0" w:evenVBand="0" w:oddHBand="0" w:evenHBand="0" w:firstRowFirstColumn="0" w:firstRowLastColumn="0" w:lastRowFirstColumn="0" w:lastRowLastColumn="0"/>
            </w:pPr>
            <w:r w:rsidRPr="00BD4C41">
              <w:t>Status</w:t>
            </w:r>
          </w:p>
        </w:tc>
        <w:tc>
          <w:tcPr>
            <w:tcW w:w="1018" w:type="pct"/>
          </w:tcPr>
          <w:p w14:paraId="55D2C205" w14:textId="77777777" w:rsidR="006A7BB9" w:rsidRPr="00BD4C41" w:rsidRDefault="006A7BB9" w:rsidP="00C613C3">
            <w:pPr>
              <w:pStyle w:val="Tabletext"/>
              <w:spacing w:before="60" w:after="60" w:line="240" w:lineRule="auto"/>
              <w:jc w:val="center"/>
              <w:cnfStyle w:val="100000000000" w:firstRow="1" w:lastRow="0" w:firstColumn="0" w:lastColumn="0" w:oddVBand="0" w:evenVBand="0" w:oddHBand="0" w:evenHBand="0" w:firstRowFirstColumn="0" w:firstRowLastColumn="0" w:lastRowFirstColumn="0" w:lastRowLastColumn="0"/>
            </w:pPr>
            <w:r w:rsidRPr="00BD4C41">
              <w:t>Disposal action</w:t>
            </w:r>
          </w:p>
        </w:tc>
      </w:tr>
      <w:tr w:rsidR="00A74DC1" w:rsidRPr="00CB5D3E" w14:paraId="0C56238B" w14:textId="77777777" w:rsidTr="00D32AC7">
        <w:tblPrEx>
          <w:tblCellMar>
            <w:top w:w="57" w:type="dxa"/>
            <w:left w:w="119" w:type="dxa"/>
            <w:right w:w="119" w:type="dxa"/>
          </w:tblCellMar>
        </w:tblPrEx>
        <w:trPr>
          <w:trHeight w:val="378"/>
        </w:trPr>
        <w:tc>
          <w:tcPr>
            <w:cnfStyle w:val="001000000000" w:firstRow="0" w:lastRow="0" w:firstColumn="1" w:lastColumn="0" w:oddVBand="0" w:evenVBand="0" w:oddHBand="0" w:evenHBand="0" w:firstRowFirstColumn="0" w:firstRowLastColumn="0" w:lastRowFirstColumn="0" w:lastRowLastColumn="0"/>
            <w:tcW w:w="401" w:type="pct"/>
            <w:shd w:val="clear" w:color="auto" w:fill="auto"/>
          </w:tcPr>
          <w:p w14:paraId="2D10CAC0" w14:textId="39F76C1B" w:rsidR="00A74DC1" w:rsidRPr="00CB5D3E" w:rsidRDefault="009E42C5" w:rsidP="00C613C3">
            <w:pPr>
              <w:pStyle w:val="Tabletext"/>
              <w:spacing w:before="60" w:after="60" w:line="240" w:lineRule="auto"/>
              <w:rPr>
                <w:sz w:val="22"/>
                <w:szCs w:val="22"/>
              </w:rPr>
            </w:pPr>
            <w:r>
              <w:rPr>
                <w:sz w:val="22"/>
                <w:szCs w:val="22"/>
              </w:rPr>
              <w:t>1.1</w:t>
            </w:r>
          </w:p>
        </w:tc>
        <w:tc>
          <w:tcPr>
            <w:tcW w:w="4599" w:type="pct"/>
            <w:gridSpan w:val="3"/>
          </w:tcPr>
          <w:p w14:paraId="783EE20B" w14:textId="77777777" w:rsidR="00A74DC1" w:rsidRPr="00471398" w:rsidRDefault="00A74DC1"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b/>
                <w:sz w:val="22"/>
                <w:szCs w:val="22"/>
              </w:rPr>
            </w:pPr>
            <w:r w:rsidRPr="00471398">
              <w:rPr>
                <w:b/>
                <w:sz w:val="22"/>
                <w:szCs w:val="22"/>
              </w:rPr>
              <w:t>ADMINISTRATIVE REVIEWS</w:t>
            </w:r>
          </w:p>
          <w:p w14:paraId="1F72A5FA" w14:textId="7C3A3E47" w:rsidR="00A74DC1" w:rsidRPr="005022EC" w:rsidRDefault="00A74DC1"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i/>
                <w:sz w:val="22"/>
                <w:szCs w:val="22"/>
              </w:rPr>
            </w:pPr>
            <w:r w:rsidRPr="005022EC">
              <w:rPr>
                <w:i/>
                <w:sz w:val="22"/>
                <w:szCs w:val="22"/>
              </w:rPr>
              <w:t>The process of hearing and reviewing decis</w:t>
            </w:r>
            <w:r w:rsidR="005022EC" w:rsidRPr="005022EC">
              <w:rPr>
                <w:i/>
                <w:sz w:val="22"/>
                <w:szCs w:val="22"/>
              </w:rPr>
              <w:t>ions made by Chief Executives, Director Generals, Commissioners, Superintendents, registrars, officers, regulators, authorit</w:t>
            </w:r>
            <w:r w:rsidR="00C356CF">
              <w:rPr>
                <w:i/>
                <w:sz w:val="22"/>
                <w:szCs w:val="22"/>
              </w:rPr>
              <w:t>ies</w:t>
            </w:r>
            <w:r w:rsidR="005022EC" w:rsidRPr="005022EC">
              <w:rPr>
                <w:i/>
                <w:sz w:val="22"/>
                <w:szCs w:val="22"/>
              </w:rPr>
              <w:t xml:space="preserve"> or inspector</w:t>
            </w:r>
            <w:r w:rsidR="00C356CF">
              <w:rPr>
                <w:i/>
                <w:sz w:val="22"/>
                <w:szCs w:val="22"/>
              </w:rPr>
              <w:t>s</w:t>
            </w:r>
            <w:r w:rsidR="005022EC" w:rsidRPr="005022EC">
              <w:rPr>
                <w:i/>
                <w:sz w:val="22"/>
                <w:szCs w:val="22"/>
              </w:rPr>
              <w:t xml:space="preserve"> of Queensland government departments, local governments and regulatory authorities.</w:t>
            </w:r>
          </w:p>
        </w:tc>
      </w:tr>
      <w:tr w:rsidR="00A74DC1" w:rsidRPr="00CB5D3E" w14:paraId="2F7B9CBD" w14:textId="77777777" w:rsidTr="00D32AC7">
        <w:tblPrEx>
          <w:tblCellMar>
            <w:top w:w="57" w:type="dxa"/>
            <w:left w:w="119" w:type="dxa"/>
            <w:right w:w="119" w:type="dxa"/>
          </w:tblCellMar>
        </w:tblPrEx>
        <w:tc>
          <w:tcPr>
            <w:cnfStyle w:val="001000000000" w:firstRow="0" w:lastRow="0" w:firstColumn="1" w:lastColumn="0" w:oddVBand="0" w:evenVBand="0" w:oddHBand="0" w:evenHBand="0" w:firstRowFirstColumn="0" w:firstRowLastColumn="0" w:lastRowFirstColumn="0" w:lastRowLastColumn="0"/>
            <w:tcW w:w="401" w:type="pct"/>
            <w:shd w:val="clear" w:color="auto" w:fill="auto"/>
          </w:tcPr>
          <w:p w14:paraId="5F9E360E" w14:textId="63FB1EB9" w:rsidR="00A74DC1" w:rsidRPr="00CB5D3E" w:rsidRDefault="009E42C5" w:rsidP="00C613C3">
            <w:pPr>
              <w:pStyle w:val="Tabletext"/>
              <w:spacing w:before="60" w:after="60" w:line="240" w:lineRule="auto"/>
              <w:rPr>
                <w:sz w:val="22"/>
                <w:szCs w:val="22"/>
              </w:rPr>
            </w:pPr>
            <w:r>
              <w:rPr>
                <w:sz w:val="22"/>
                <w:szCs w:val="22"/>
              </w:rPr>
              <w:t>1.1.1</w:t>
            </w:r>
          </w:p>
        </w:tc>
        <w:tc>
          <w:tcPr>
            <w:tcW w:w="2878" w:type="pct"/>
          </w:tcPr>
          <w:p w14:paraId="538C9785" w14:textId="77777777" w:rsidR="00A74DC1" w:rsidRPr="005022EC" w:rsidRDefault="005022EC"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b/>
                <w:i/>
                <w:sz w:val="22"/>
                <w:szCs w:val="22"/>
              </w:rPr>
            </w:pPr>
            <w:r w:rsidRPr="005022EC">
              <w:rPr>
                <w:b/>
                <w:i/>
                <w:sz w:val="22"/>
                <w:szCs w:val="22"/>
              </w:rPr>
              <w:t>Administrative review case files</w:t>
            </w:r>
          </w:p>
          <w:p w14:paraId="539D9A63" w14:textId="77777777" w:rsidR="005022EC" w:rsidRDefault="005022EC"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Case management records relating to the review of administrative decisions including, but not limited to:</w:t>
            </w:r>
          </w:p>
          <w:p w14:paraId="6038B655" w14:textId="77777777" w:rsidR="005022EC" w:rsidRDefault="005022EC" w:rsidP="00C613C3">
            <w:pPr>
              <w:pStyle w:val="Tabletext"/>
              <w:numPr>
                <w:ilvl w:val="0"/>
                <w:numId w:val="29"/>
              </w:numPr>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animal care and regulation</w:t>
            </w:r>
          </w:p>
          <w:p w14:paraId="7AB7CA12" w14:textId="08A18C95" w:rsidR="005022EC" w:rsidRDefault="005022EC" w:rsidP="00C613C3">
            <w:pPr>
              <w:pStyle w:val="Tabletext"/>
              <w:numPr>
                <w:ilvl w:val="0"/>
                <w:numId w:val="29"/>
              </w:numPr>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blue card applications</w:t>
            </w:r>
            <w:r w:rsidR="00305568" w:rsidRPr="003B02E8">
              <w:rPr>
                <w:rFonts w:cs="Arial"/>
                <w:i/>
                <w:szCs w:val="22"/>
                <w:lang w:eastAsia="en-AU"/>
              </w:rPr>
              <w:t xml:space="preserve"> Working with Children (Risk Management and Screening)</w:t>
            </w:r>
            <w:r w:rsidR="00305568">
              <w:rPr>
                <w:rFonts w:cs="Arial"/>
                <w:i/>
                <w:szCs w:val="22"/>
                <w:lang w:eastAsia="en-AU"/>
              </w:rPr>
              <w:t xml:space="preserve"> </w:t>
            </w:r>
            <w:r w:rsidR="00305568" w:rsidRPr="003B02E8">
              <w:rPr>
                <w:rFonts w:cs="Arial"/>
                <w:i/>
                <w:szCs w:val="22"/>
                <w:lang w:eastAsia="en-AU"/>
              </w:rPr>
              <w:t>Act 2000</w:t>
            </w:r>
          </w:p>
          <w:p w14:paraId="77D003A8" w14:textId="77777777" w:rsidR="005022EC" w:rsidRDefault="005022EC" w:rsidP="00C613C3">
            <w:pPr>
              <w:pStyle w:val="Tabletext"/>
              <w:numPr>
                <w:ilvl w:val="0"/>
                <w:numId w:val="29"/>
              </w:numPr>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civil partnerships</w:t>
            </w:r>
          </w:p>
          <w:p w14:paraId="02292C43" w14:textId="77777777" w:rsidR="005022EC" w:rsidRDefault="005022EC" w:rsidP="00C613C3">
            <w:pPr>
              <w:pStyle w:val="Tabletext"/>
              <w:numPr>
                <w:ilvl w:val="0"/>
                <w:numId w:val="29"/>
              </w:numPr>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racing</w:t>
            </w:r>
          </w:p>
          <w:p w14:paraId="0093ACEF" w14:textId="77777777" w:rsidR="005022EC" w:rsidRDefault="005022EC" w:rsidP="00C613C3">
            <w:pPr>
              <w:pStyle w:val="Tabletext"/>
              <w:numPr>
                <w:ilvl w:val="0"/>
                <w:numId w:val="29"/>
              </w:numPr>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retirement villages</w:t>
            </w:r>
          </w:p>
          <w:p w14:paraId="3C5DEED8" w14:textId="77777777" w:rsidR="005022EC" w:rsidRDefault="005022EC" w:rsidP="00C613C3">
            <w:pPr>
              <w:pStyle w:val="Tabletext"/>
              <w:numPr>
                <w:ilvl w:val="0"/>
                <w:numId w:val="29"/>
              </w:numPr>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lastRenderedPageBreak/>
              <w:t>right to information requests.</w:t>
            </w:r>
          </w:p>
          <w:p w14:paraId="7AA0B0C5" w14:textId="77777777" w:rsidR="005022EC" w:rsidRDefault="005022EC"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Records may include, but are not limited to:</w:t>
            </w:r>
          </w:p>
          <w:p w14:paraId="01AA80A3" w14:textId="77777777" w:rsidR="005022EC" w:rsidRDefault="005022EC" w:rsidP="00C613C3">
            <w:pPr>
              <w:numPr>
                <w:ilvl w:val="0"/>
                <w:numId w:val="21"/>
              </w:numPr>
              <w:spacing w:before="60" w:line="240" w:lineRule="auto"/>
              <w:cnfStyle w:val="000000000000" w:firstRow="0" w:lastRow="0" w:firstColumn="0" w:lastColumn="0" w:oddVBand="0" w:evenVBand="0" w:oddHBand="0" w:evenHBand="0" w:firstRowFirstColumn="0" w:firstRowLastColumn="0" w:lastRowFirstColumn="0" w:lastRowLastColumn="0"/>
              <w:rPr>
                <w:rFonts w:cs="Arial"/>
                <w:szCs w:val="22"/>
                <w:lang w:eastAsia="en-AU"/>
              </w:rPr>
            </w:pPr>
            <w:r>
              <w:rPr>
                <w:rFonts w:cs="Arial"/>
                <w:szCs w:val="22"/>
                <w:lang w:eastAsia="en-AU"/>
              </w:rPr>
              <w:t>s</w:t>
            </w:r>
            <w:r w:rsidRPr="00B36EA1">
              <w:rPr>
                <w:rFonts w:cs="Arial"/>
                <w:szCs w:val="22"/>
                <w:lang w:eastAsia="en-AU"/>
              </w:rPr>
              <w:t xml:space="preserve">igned final hearings decisions </w:t>
            </w:r>
          </w:p>
          <w:p w14:paraId="0515A57D" w14:textId="4B808E41" w:rsidR="005022EC" w:rsidRDefault="005022EC" w:rsidP="00C613C3">
            <w:pPr>
              <w:numPr>
                <w:ilvl w:val="0"/>
                <w:numId w:val="21"/>
              </w:numPr>
              <w:spacing w:before="60" w:line="240" w:lineRule="auto"/>
              <w:cnfStyle w:val="000000000000" w:firstRow="0" w:lastRow="0" w:firstColumn="0" w:lastColumn="0" w:oddVBand="0" w:evenVBand="0" w:oddHBand="0" w:evenHBand="0" w:firstRowFirstColumn="0" w:firstRowLastColumn="0" w:lastRowFirstColumn="0" w:lastRowLastColumn="0"/>
              <w:rPr>
                <w:rFonts w:cs="Arial"/>
                <w:szCs w:val="22"/>
                <w:lang w:eastAsia="en-AU"/>
              </w:rPr>
            </w:pPr>
            <w:r w:rsidRPr="0049459B">
              <w:rPr>
                <w:rFonts w:cs="Arial"/>
                <w:szCs w:val="22"/>
                <w:lang w:eastAsia="en-AU"/>
              </w:rPr>
              <w:t xml:space="preserve">signed </w:t>
            </w:r>
            <w:r w:rsidR="005F5F35">
              <w:rPr>
                <w:rFonts w:cs="Arial"/>
                <w:szCs w:val="22"/>
                <w:lang w:eastAsia="en-AU"/>
              </w:rPr>
              <w:t>i</w:t>
            </w:r>
            <w:r w:rsidRPr="0049459B">
              <w:rPr>
                <w:rFonts w:cs="Arial"/>
                <w:szCs w:val="22"/>
                <w:lang w:eastAsia="en-AU"/>
              </w:rPr>
              <w:t xml:space="preserve">nterim </w:t>
            </w:r>
            <w:r w:rsidR="005F5F35">
              <w:rPr>
                <w:rFonts w:cs="Arial"/>
                <w:szCs w:val="22"/>
                <w:lang w:eastAsia="en-AU"/>
              </w:rPr>
              <w:t>o</w:t>
            </w:r>
            <w:r w:rsidRPr="0049459B">
              <w:rPr>
                <w:rFonts w:cs="Arial"/>
                <w:szCs w:val="22"/>
                <w:lang w:eastAsia="en-AU"/>
              </w:rPr>
              <w:t>rders/</w:t>
            </w:r>
            <w:r w:rsidR="005F5F35">
              <w:rPr>
                <w:rFonts w:cs="Arial"/>
                <w:szCs w:val="22"/>
                <w:lang w:eastAsia="en-AU"/>
              </w:rPr>
              <w:t>i</w:t>
            </w:r>
            <w:r w:rsidRPr="0049459B">
              <w:rPr>
                <w:rFonts w:cs="Arial"/>
                <w:szCs w:val="22"/>
                <w:lang w:eastAsia="en-AU"/>
              </w:rPr>
              <w:t>nterlocutory ma</w:t>
            </w:r>
            <w:r>
              <w:rPr>
                <w:rFonts w:cs="Arial"/>
                <w:szCs w:val="22"/>
                <w:lang w:eastAsia="en-AU"/>
              </w:rPr>
              <w:t>tters and decisions</w:t>
            </w:r>
          </w:p>
          <w:p w14:paraId="2A7A6FB3" w14:textId="77777777" w:rsidR="005022EC" w:rsidRPr="0049459B" w:rsidRDefault="005022EC" w:rsidP="00C613C3">
            <w:pPr>
              <w:numPr>
                <w:ilvl w:val="0"/>
                <w:numId w:val="21"/>
              </w:numPr>
              <w:spacing w:before="60" w:line="240" w:lineRule="auto"/>
              <w:cnfStyle w:val="000000000000" w:firstRow="0" w:lastRow="0" w:firstColumn="0" w:lastColumn="0" w:oddVBand="0" w:evenVBand="0" w:oddHBand="0" w:evenHBand="0" w:firstRowFirstColumn="0" w:firstRowLastColumn="0" w:lastRowFirstColumn="0" w:lastRowLastColumn="0"/>
              <w:rPr>
                <w:rFonts w:cs="Arial"/>
                <w:szCs w:val="22"/>
                <w:lang w:eastAsia="en-AU"/>
              </w:rPr>
            </w:pPr>
            <w:r w:rsidRPr="0049459B">
              <w:rPr>
                <w:rFonts w:cs="Arial"/>
                <w:szCs w:val="22"/>
                <w:lang w:eastAsia="en-AU"/>
              </w:rPr>
              <w:t xml:space="preserve">complaint case files </w:t>
            </w:r>
          </w:p>
          <w:p w14:paraId="5A2218F6" w14:textId="0B1900EC" w:rsidR="005022EC" w:rsidRPr="005022EC" w:rsidRDefault="005022EC" w:rsidP="00312BD9">
            <w:pPr>
              <w:pStyle w:val="Tabletext"/>
              <w:numPr>
                <w:ilvl w:val="0"/>
                <w:numId w:val="21"/>
              </w:numPr>
              <w:spacing w:before="60" w:after="60" w:line="240" w:lineRule="auto"/>
              <w:cnfStyle w:val="000000000000" w:firstRow="0" w:lastRow="0" w:firstColumn="0" w:lastColumn="0" w:oddVBand="0" w:evenVBand="0" w:oddHBand="0" w:evenHBand="0" w:firstRowFirstColumn="0" w:firstRowLastColumn="0" w:lastRowFirstColumn="0" w:lastRowLastColumn="0"/>
              <w:rPr>
                <w:i/>
                <w:sz w:val="22"/>
                <w:szCs w:val="22"/>
              </w:rPr>
            </w:pPr>
            <w:r w:rsidRPr="005022EC">
              <w:rPr>
                <w:rFonts w:cs="Arial"/>
                <w:sz w:val="22"/>
                <w:szCs w:val="22"/>
                <w:lang w:eastAsia="en-AU"/>
              </w:rPr>
              <w:t>hearing transcripts (</w:t>
            </w:r>
            <w:r w:rsidR="005F5F35">
              <w:rPr>
                <w:rFonts w:cs="Arial"/>
                <w:sz w:val="22"/>
                <w:szCs w:val="22"/>
                <w:lang w:eastAsia="en-AU"/>
              </w:rPr>
              <w:t>i</w:t>
            </w:r>
            <w:r w:rsidRPr="005022EC">
              <w:rPr>
                <w:rFonts w:cs="Arial"/>
                <w:sz w:val="22"/>
                <w:szCs w:val="22"/>
                <w:lang w:eastAsia="en-AU"/>
              </w:rPr>
              <w:t>ncludes master, transcribed and untranscribed).</w:t>
            </w:r>
          </w:p>
        </w:tc>
        <w:tc>
          <w:tcPr>
            <w:tcW w:w="703" w:type="pct"/>
          </w:tcPr>
          <w:p w14:paraId="69247067" w14:textId="77777777" w:rsidR="00A74DC1" w:rsidRPr="00CB5D3E" w:rsidRDefault="005022EC" w:rsidP="00C613C3">
            <w:pPr>
              <w:pStyle w:val="Table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lastRenderedPageBreak/>
              <w:t>Temporary</w:t>
            </w:r>
          </w:p>
        </w:tc>
        <w:tc>
          <w:tcPr>
            <w:tcW w:w="1018" w:type="pct"/>
          </w:tcPr>
          <w:p w14:paraId="35F913DC" w14:textId="19E62D96" w:rsidR="00A74DC1" w:rsidRPr="00CB5D3E" w:rsidRDefault="005022EC"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EE50E0">
              <w:rPr>
                <w:rFonts w:cs="Arial"/>
                <w:sz w:val="22"/>
                <w:szCs w:val="22"/>
              </w:rPr>
              <w:t xml:space="preserve">Retain for 12 years after </w:t>
            </w:r>
            <w:r w:rsidR="000E3125">
              <w:rPr>
                <w:rFonts w:cs="Arial"/>
                <w:sz w:val="22"/>
                <w:szCs w:val="22"/>
              </w:rPr>
              <w:t>business action completed</w:t>
            </w:r>
            <w:r w:rsidRPr="00EE50E0">
              <w:rPr>
                <w:rFonts w:cs="Arial"/>
                <w:sz w:val="22"/>
                <w:szCs w:val="22"/>
              </w:rPr>
              <w:t xml:space="preserve"> and finalisation of all appeal processes</w:t>
            </w:r>
            <w:r>
              <w:rPr>
                <w:rFonts w:cs="Arial"/>
                <w:sz w:val="22"/>
                <w:szCs w:val="22"/>
              </w:rPr>
              <w:t>.</w:t>
            </w:r>
          </w:p>
        </w:tc>
      </w:tr>
      <w:tr w:rsidR="006A7BB9" w:rsidRPr="00CB5D3E" w14:paraId="3E91F6E5" w14:textId="77777777" w:rsidTr="00563DC3">
        <w:tblPrEx>
          <w:tblCellMar>
            <w:top w:w="57" w:type="dxa"/>
            <w:left w:w="119" w:type="dxa"/>
            <w:right w:w="119" w:type="dxa"/>
          </w:tblCellMar>
        </w:tblPrEx>
        <w:tc>
          <w:tcPr>
            <w:cnfStyle w:val="001000000000" w:firstRow="0" w:lastRow="0" w:firstColumn="1" w:lastColumn="0" w:oddVBand="0" w:evenVBand="0" w:oddHBand="0" w:evenHBand="0" w:firstRowFirstColumn="0" w:firstRowLastColumn="0" w:lastRowFirstColumn="0" w:lastRowLastColumn="0"/>
            <w:tcW w:w="401" w:type="pct"/>
            <w:tcBorders>
              <w:top w:val="single" w:sz="18" w:space="0" w:color="C0C0C0"/>
            </w:tcBorders>
            <w:shd w:val="clear" w:color="auto" w:fill="auto"/>
          </w:tcPr>
          <w:p w14:paraId="3438D2E1" w14:textId="33D69405" w:rsidR="006A7BB9" w:rsidRPr="00CB5D3E" w:rsidRDefault="009E42C5" w:rsidP="00C613C3">
            <w:pPr>
              <w:pStyle w:val="Tabletext"/>
              <w:spacing w:before="60" w:after="60" w:line="240" w:lineRule="auto"/>
              <w:rPr>
                <w:sz w:val="22"/>
                <w:szCs w:val="22"/>
              </w:rPr>
            </w:pPr>
            <w:r>
              <w:rPr>
                <w:sz w:val="22"/>
                <w:szCs w:val="22"/>
              </w:rPr>
              <w:t>1.2</w:t>
            </w:r>
          </w:p>
        </w:tc>
        <w:tc>
          <w:tcPr>
            <w:tcW w:w="4599" w:type="pct"/>
            <w:gridSpan w:val="3"/>
          </w:tcPr>
          <w:p w14:paraId="02FEE1E0" w14:textId="77777777" w:rsidR="003B02E8" w:rsidRPr="00471398" w:rsidRDefault="003B02E8"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b/>
                <w:i/>
                <w:caps/>
                <w:sz w:val="22"/>
                <w:szCs w:val="22"/>
              </w:rPr>
            </w:pPr>
            <w:r w:rsidRPr="00471398">
              <w:rPr>
                <w:rFonts w:cs="Arial"/>
                <w:b/>
                <w:caps/>
                <w:sz w:val="22"/>
                <w:szCs w:val="22"/>
              </w:rPr>
              <w:t>Anti-Discrimination</w:t>
            </w:r>
          </w:p>
          <w:p w14:paraId="072C0394" w14:textId="260D1C19" w:rsidR="006A7BB9" w:rsidRPr="00CB5D3E" w:rsidRDefault="003B02E8"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i/>
                <w:sz w:val="22"/>
                <w:szCs w:val="22"/>
              </w:rPr>
            </w:pPr>
            <w:r w:rsidRPr="003B02E8">
              <w:rPr>
                <w:rFonts w:cs="Arial"/>
                <w:i/>
                <w:sz w:val="22"/>
                <w:szCs w:val="22"/>
                <w:lang w:eastAsia="en-AU"/>
              </w:rPr>
              <w:t>The process of hearing</w:t>
            </w:r>
            <w:r w:rsidRPr="003B02E8">
              <w:rPr>
                <w:rFonts w:cs="Arial"/>
                <w:i/>
                <w:sz w:val="32"/>
                <w:szCs w:val="28"/>
              </w:rPr>
              <w:t xml:space="preserve"> </w:t>
            </w:r>
            <w:r w:rsidRPr="003B02E8">
              <w:rPr>
                <w:rFonts w:cs="Arial"/>
                <w:i/>
                <w:sz w:val="22"/>
                <w:szCs w:val="22"/>
                <w:lang w:eastAsia="en-AU"/>
              </w:rPr>
              <w:t>and determining complaints of alleged unlawful discrimination, sexual harassment, vilification and victimisation after they have been investigated and referred to QCAT by the Anti-Discrimination Commission Queensland under the Anti-Discrimination Act 1991.</w:t>
            </w:r>
          </w:p>
        </w:tc>
      </w:tr>
      <w:tr w:rsidR="006A7BB9" w:rsidRPr="00CB5D3E" w14:paraId="20091430" w14:textId="77777777" w:rsidTr="00563DC3">
        <w:tblPrEx>
          <w:tblCellMar>
            <w:top w:w="57" w:type="dxa"/>
            <w:left w:w="119" w:type="dxa"/>
            <w:right w:w="119" w:type="dxa"/>
          </w:tblCellMar>
        </w:tblPrEx>
        <w:tc>
          <w:tcPr>
            <w:cnfStyle w:val="001000000000" w:firstRow="0" w:lastRow="0" w:firstColumn="1" w:lastColumn="0" w:oddVBand="0" w:evenVBand="0" w:oddHBand="0" w:evenHBand="0" w:firstRowFirstColumn="0" w:firstRowLastColumn="0" w:lastRowFirstColumn="0" w:lastRowLastColumn="0"/>
            <w:tcW w:w="401" w:type="pct"/>
            <w:shd w:val="clear" w:color="auto" w:fill="auto"/>
          </w:tcPr>
          <w:p w14:paraId="00B98D85" w14:textId="49F96479" w:rsidR="006A7BB9" w:rsidRPr="00CB5D3E" w:rsidRDefault="009E42C5" w:rsidP="00C613C3">
            <w:pPr>
              <w:pStyle w:val="Tabletext"/>
              <w:spacing w:before="60" w:after="60" w:line="240" w:lineRule="auto"/>
              <w:rPr>
                <w:sz w:val="22"/>
                <w:szCs w:val="22"/>
              </w:rPr>
            </w:pPr>
            <w:r>
              <w:rPr>
                <w:sz w:val="22"/>
                <w:szCs w:val="22"/>
              </w:rPr>
              <w:t>1.2.1</w:t>
            </w:r>
          </w:p>
        </w:tc>
        <w:tc>
          <w:tcPr>
            <w:tcW w:w="2878" w:type="pct"/>
          </w:tcPr>
          <w:p w14:paraId="6976E5CE" w14:textId="77777777" w:rsidR="003B02E8" w:rsidRPr="007B5C75" w:rsidRDefault="003B02E8" w:rsidP="00C613C3">
            <w:pPr>
              <w:spacing w:before="60" w:line="240" w:lineRule="auto"/>
              <w:cnfStyle w:val="000000000000" w:firstRow="0" w:lastRow="0" w:firstColumn="0" w:lastColumn="0" w:oddVBand="0" w:evenVBand="0" w:oddHBand="0" w:evenHBand="0" w:firstRowFirstColumn="0" w:firstRowLastColumn="0" w:lastRowFirstColumn="0" w:lastRowLastColumn="0"/>
              <w:rPr>
                <w:b/>
                <w:i/>
                <w:szCs w:val="22"/>
              </w:rPr>
            </w:pPr>
            <w:r w:rsidRPr="007B5C75">
              <w:rPr>
                <w:b/>
                <w:i/>
                <w:szCs w:val="22"/>
              </w:rPr>
              <w:t>Anti-discrimination case files</w:t>
            </w:r>
          </w:p>
          <w:p w14:paraId="115AFC69" w14:textId="4A43F23A" w:rsidR="003B02E8" w:rsidRPr="00307663" w:rsidRDefault="003B02E8" w:rsidP="00C613C3">
            <w:pPr>
              <w:spacing w:before="60"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Case management records relating to hearing complaints of alleged unlawful discrimination, sexual harassment, vilification and victimisation investigated</w:t>
            </w:r>
            <w:r w:rsidR="00281864">
              <w:rPr>
                <w:szCs w:val="22"/>
              </w:rPr>
              <w:t xml:space="preserve"> by the Anti-Discrimination Commission Queensland</w:t>
            </w:r>
            <w:r>
              <w:rPr>
                <w:szCs w:val="22"/>
              </w:rPr>
              <w:t xml:space="preserve"> and referred to QCAT.</w:t>
            </w:r>
          </w:p>
          <w:p w14:paraId="6A920EA6" w14:textId="77777777" w:rsidR="003B02E8" w:rsidRPr="003026B5" w:rsidRDefault="003B02E8" w:rsidP="00C613C3">
            <w:pPr>
              <w:spacing w:before="60" w:line="240" w:lineRule="auto"/>
              <w:cnfStyle w:val="000000000000" w:firstRow="0" w:lastRow="0" w:firstColumn="0" w:lastColumn="0" w:oddVBand="0" w:evenVBand="0" w:oddHBand="0" w:evenHBand="0" w:firstRowFirstColumn="0" w:firstRowLastColumn="0" w:lastRowFirstColumn="0" w:lastRowLastColumn="0"/>
              <w:rPr>
                <w:rFonts w:cs="Arial"/>
                <w:szCs w:val="22"/>
                <w:lang w:eastAsia="en-AU"/>
              </w:rPr>
            </w:pPr>
            <w:r w:rsidRPr="003026B5">
              <w:rPr>
                <w:szCs w:val="22"/>
              </w:rPr>
              <w:t>Records may include, but are not limited to:</w:t>
            </w:r>
          </w:p>
          <w:p w14:paraId="0048F397" w14:textId="77777777" w:rsidR="003B02E8" w:rsidRDefault="003B02E8" w:rsidP="00C613C3">
            <w:pPr>
              <w:numPr>
                <w:ilvl w:val="0"/>
                <w:numId w:val="8"/>
              </w:numPr>
              <w:spacing w:before="60" w:line="240" w:lineRule="auto"/>
              <w:cnfStyle w:val="000000000000" w:firstRow="0" w:lastRow="0" w:firstColumn="0" w:lastColumn="0" w:oddVBand="0" w:evenVBand="0" w:oddHBand="0" w:evenHBand="0" w:firstRowFirstColumn="0" w:firstRowLastColumn="0" w:lastRowFirstColumn="0" w:lastRowLastColumn="0"/>
              <w:rPr>
                <w:rFonts w:cs="Arial"/>
                <w:szCs w:val="22"/>
                <w:lang w:eastAsia="en-AU"/>
              </w:rPr>
            </w:pPr>
            <w:r>
              <w:rPr>
                <w:rFonts w:cs="Arial"/>
                <w:szCs w:val="22"/>
                <w:lang w:eastAsia="en-AU"/>
              </w:rPr>
              <w:t>s</w:t>
            </w:r>
            <w:r w:rsidRPr="00B36EA1">
              <w:rPr>
                <w:rFonts w:cs="Arial"/>
                <w:szCs w:val="22"/>
                <w:lang w:eastAsia="en-AU"/>
              </w:rPr>
              <w:t xml:space="preserve">igned final hearings decisions </w:t>
            </w:r>
          </w:p>
          <w:p w14:paraId="09B58FF2" w14:textId="07EA2EA4" w:rsidR="003B02E8" w:rsidRDefault="003B02E8" w:rsidP="00C613C3">
            <w:pPr>
              <w:numPr>
                <w:ilvl w:val="0"/>
                <w:numId w:val="8"/>
              </w:numPr>
              <w:spacing w:before="60" w:line="240" w:lineRule="auto"/>
              <w:cnfStyle w:val="000000000000" w:firstRow="0" w:lastRow="0" w:firstColumn="0" w:lastColumn="0" w:oddVBand="0" w:evenVBand="0" w:oddHBand="0" w:evenHBand="0" w:firstRowFirstColumn="0" w:firstRowLastColumn="0" w:lastRowFirstColumn="0" w:lastRowLastColumn="0"/>
              <w:rPr>
                <w:rFonts w:cs="Arial"/>
                <w:szCs w:val="22"/>
                <w:lang w:eastAsia="en-AU"/>
              </w:rPr>
            </w:pPr>
            <w:r w:rsidRPr="0049459B">
              <w:rPr>
                <w:rFonts w:cs="Arial"/>
                <w:szCs w:val="22"/>
                <w:lang w:eastAsia="en-AU"/>
              </w:rPr>
              <w:t xml:space="preserve">signed </w:t>
            </w:r>
            <w:r w:rsidR="005F5F35">
              <w:rPr>
                <w:rFonts w:cs="Arial"/>
                <w:szCs w:val="22"/>
                <w:lang w:eastAsia="en-AU"/>
              </w:rPr>
              <w:t>i</w:t>
            </w:r>
            <w:r w:rsidRPr="0049459B">
              <w:rPr>
                <w:rFonts w:cs="Arial"/>
                <w:szCs w:val="22"/>
                <w:lang w:eastAsia="en-AU"/>
              </w:rPr>
              <w:t xml:space="preserve">nterim </w:t>
            </w:r>
            <w:r w:rsidR="005F5F35">
              <w:rPr>
                <w:rFonts w:cs="Arial"/>
                <w:szCs w:val="22"/>
                <w:lang w:eastAsia="en-AU"/>
              </w:rPr>
              <w:t>o</w:t>
            </w:r>
            <w:r w:rsidRPr="0049459B">
              <w:rPr>
                <w:rFonts w:cs="Arial"/>
                <w:szCs w:val="22"/>
                <w:lang w:eastAsia="en-AU"/>
              </w:rPr>
              <w:t>rders/</w:t>
            </w:r>
            <w:r w:rsidR="005F5F35">
              <w:rPr>
                <w:rFonts w:cs="Arial"/>
                <w:szCs w:val="22"/>
                <w:lang w:eastAsia="en-AU"/>
              </w:rPr>
              <w:t>i</w:t>
            </w:r>
            <w:r w:rsidRPr="0049459B">
              <w:rPr>
                <w:rFonts w:cs="Arial"/>
                <w:szCs w:val="22"/>
                <w:lang w:eastAsia="en-AU"/>
              </w:rPr>
              <w:t>nterlocutory ma</w:t>
            </w:r>
            <w:r>
              <w:rPr>
                <w:rFonts w:cs="Arial"/>
                <w:szCs w:val="22"/>
                <w:lang w:eastAsia="en-AU"/>
              </w:rPr>
              <w:t>tters and decisions</w:t>
            </w:r>
          </w:p>
          <w:p w14:paraId="155FF136" w14:textId="77777777" w:rsidR="003B02E8" w:rsidRPr="0049459B" w:rsidRDefault="003B02E8" w:rsidP="00C613C3">
            <w:pPr>
              <w:numPr>
                <w:ilvl w:val="0"/>
                <w:numId w:val="8"/>
              </w:numPr>
              <w:spacing w:before="60" w:line="240" w:lineRule="auto"/>
              <w:cnfStyle w:val="000000000000" w:firstRow="0" w:lastRow="0" w:firstColumn="0" w:lastColumn="0" w:oddVBand="0" w:evenVBand="0" w:oddHBand="0" w:evenHBand="0" w:firstRowFirstColumn="0" w:firstRowLastColumn="0" w:lastRowFirstColumn="0" w:lastRowLastColumn="0"/>
              <w:rPr>
                <w:rFonts w:cs="Arial"/>
                <w:szCs w:val="22"/>
                <w:lang w:eastAsia="en-AU"/>
              </w:rPr>
            </w:pPr>
            <w:r w:rsidRPr="0049459B">
              <w:rPr>
                <w:rFonts w:cs="Arial"/>
                <w:szCs w:val="22"/>
                <w:lang w:eastAsia="en-AU"/>
              </w:rPr>
              <w:t xml:space="preserve">complaint case files </w:t>
            </w:r>
          </w:p>
          <w:p w14:paraId="1CB5729C" w14:textId="10DD60B9" w:rsidR="003B02E8" w:rsidRDefault="003B02E8" w:rsidP="00C613C3">
            <w:pPr>
              <w:numPr>
                <w:ilvl w:val="0"/>
                <w:numId w:val="8"/>
              </w:numPr>
              <w:spacing w:before="60" w:line="240" w:lineRule="auto"/>
              <w:cnfStyle w:val="000000000000" w:firstRow="0" w:lastRow="0" w:firstColumn="0" w:lastColumn="0" w:oddVBand="0" w:evenVBand="0" w:oddHBand="0" w:evenHBand="0" w:firstRowFirstColumn="0" w:firstRowLastColumn="0" w:lastRowFirstColumn="0" w:lastRowLastColumn="0"/>
              <w:rPr>
                <w:rFonts w:cs="Arial"/>
                <w:szCs w:val="22"/>
                <w:lang w:eastAsia="en-AU"/>
              </w:rPr>
            </w:pPr>
            <w:r>
              <w:rPr>
                <w:rFonts w:cs="Arial"/>
                <w:szCs w:val="22"/>
                <w:lang w:eastAsia="en-AU"/>
              </w:rPr>
              <w:t xml:space="preserve">hearing </w:t>
            </w:r>
            <w:r w:rsidRPr="00B36EA1">
              <w:rPr>
                <w:rFonts w:cs="Arial"/>
                <w:szCs w:val="22"/>
                <w:lang w:eastAsia="en-AU"/>
              </w:rPr>
              <w:t>transcripts (</w:t>
            </w:r>
            <w:r w:rsidR="008974D0">
              <w:rPr>
                <w:rFonts w:cs="Arial"/>
                <w:szCs w:val="22"/>
                <w:lang w:eastAsia="en-AU"/>
              </w:rPr>
              <w:t>i</w:t>
            </w:r>
            <w:r>
              <w:rPr>
                <w:rFonts w:cs="Arial"/>
                <w:szCs w:val="22"/>
                <w:lang w:eastAsia="en-AU"/>
              </w:rPr>
              <w:t>ncludes m</w:t>
            </w:r>
            <w:r w:rsidRPr="00B36EA1">
              <w:rPr>
                <w:rFonts w:cs="Arial"/>
                <w:szCs w:val="22"/>
                <w:lang w:eastAsia="en-AU"/>
              </w:rPr>
              <w:t>aster, transcribed and untranscribed)</w:t>
            </w:r>
          </w:p>
          <w:p w14:paraId="77FA98A2" w14:textId="77777777" w:rsidR="003B02E8" w:rsidRDefault="003B02E8" w:rsidP="00C613C3">
            <w:pPr>
              <w:numPr>
                <w:ilvl w:val="0"/>
                <w:numId w:val="8"/>
              </w:numPr>
              <w:spacing w:before="60" w:line="240" w:lineRule="auto"/>
              <w:cnfStyle w:val="000000000000" w:firstRow="0" w:lastRow="0" w:firstColumn="0" w:lastColumn="0" w:oddVBand="0" w:evenVBand="0" w:oddHBand="0" w:evenHBand="0" w:firstRowFirstColumn="0" w:firstRowLastColumn="0" w:lastRowFirstColumn="0" w:lastRowLastColumn="0"/>
              <w:rPr>
                <w:rFonts w:cs="Arial"/>
                <w:szCs w:val="22"/>
                <w:lang w:eastAsia="en-AU"/>
              </w:rPr>
            </w:pPr>
            <w:r>
              <w:rPr>
                <w:rFonts w:cs="Arial"/>
                <w:szCs w:val="22"/>
                <w:lang w:eastAsia="en-AU"/>
              </w:rPr>
              <w:t>exemptions a</w:t>
            </w:r>
            <w:r w:rsidRPr="00B36EA1">
              <w:rPr>
                <w:rFonts w:cs="Arial"/>
                <w:szCs w:val="22"/>
                <w:lang w:eastAsia="en-AU"/>
              </w:rPr>
              <w:t xml:space="preserve">pplications from specific provisions of the </w:t>
            </w:r>
            <w:r>
              <w:rPr>
                <w:rFonts w:cs="Arial"/>
                <w:szCs w:val="22"/>
                <w:lang w:eastAsia="en-AU"/>
              </w:rPr>
              <w:t>legislation</w:t>
            </w:r>
          </w:p>
          <w:p w14:paraId="63BE6BC2" w14:textId="77777777" w:rsidR="003B02E8" w:rsidRPr="00B36EA1" w:rsidRDefault="003B02E8" w:rsidP="00C613C3">
            <w:pPr>
              <w:numPr>
                <w:ilvl w:val="0"/>
                <w:numId w:val="8"/>
              </w:numPr>
              <w:spacing w:before="60" w:line="240" w:lineRule="auto"/>
              <w:cnfStyle w:val="000000000000" w:firstRow="0" w:lastRow="0" w:firstColumn="0" w:lastColumn="0" w:oddVBand="0" w:evenVBand="0" w:oddHBand="0" w:evenHBand="0" w:firstRowFirstColumn="0" w:firstRowLastColumn="0" w:lastRowFirstColumn="0" w:lastRowLastColumn="0"/>
              <w:rPr>
                <w:rFonts w:cs="Arial"/>
                <w:szCs w:val="22"/>
                <w:lang w:eastAsia="en-AU"/>
              </w:rPr>
            </w:pPr>
            <w:r w:rsidRPr="00B36EA1">
              <w:rPr>
                <w:rFonts w:cs="Arial"/>
                <w:szCs w:val="22"/>
                <w:lang w:eastAsia="en-AU"/>
              </w:rPr>
              <w:t>successful and unsucce</w:t>
            </w:r>
            <w:r>
              <w:rPr>
                <w:rFonts w:cs="Arial"/>
                <w:szCs w:val="22"/>
                <w:lang w:eastAsia="en-AU"/>
              </w:rPr>
              <w:t>ssful applications and renewals</w:t>
            </w:r>
          </w:p>
          <w:p w14:paraId="1B38DF19" w14:textId="17D444D1" w:rsidR="003B02E8" w:rsidRDefault="003B02E8" w:rsidP="00C613C3">
            <w:pPr>
              <w:numPr>
                <w:ilvl w:val="0"/>
                <w:numId w:val="8"/>
              </w:numPr>
              <w:spacing w:before="60" w:line="240" w:lineRule="auto"/>
              <w:cnfStyle w:val="000000000000" w:firstRow="0" w:lastRow="0" w:firstColumn="0" w:lastColumn="0" w:oddVBand="0" w:evenVBand="0" w:oddHBand="0" w:evenHBand="0" w:firstRowFirstColumn="0" w:firstRowLastColumn="0" w:lastRowFirstColumn="0" w:lastRowLastColumn="0"/>
              <w:rPr>
                <w:rFonts w:cs="Arial"/>
                <w:szCs w:val="22"/>
                <w:lang w:eastAsia="en-AU"/>
              </w:rPr>
            </w:pPr>
            <w:r w:rsidRPr="00EE50E0">
              <w:rPr>
                <w:rFonts w:cs="Arial"/>
                <w:szCs w:val="22"/>
                <w:lang w:eastAsia="en-AU"/>
              </w:rPr>
              <w:t>opinions provided to the Anti-Discrimination Commissioner concerning the application of</w:t>
            </w:r>
            <w:r>
              <w:rPr>
                <w:rFonts w:cs="Arial"/>
                <w:szCs w:val="22"/>
                <w:lang w:eastAsia="en-AU"/>
              </w:rPr>
              <w:t xml:space="preserve"> legislation in specific situations.</w:t>
            </w:r>
            <w:r w:rsidRPr="00EE50E0">
              <w:rPr>
                <w:rFonts w:cs="Arial"/>
                <w:szCs w:val="22"/>
                <w:lang w:eastAsia="en-AU"/>
              </w:rPr>
              <w:t xml:space="preserve"> Includes requests for opinions where the tribunal declines to offer an opinion</w:t>
            </w:r>
          </w:p>
          <w:p w14:paraId="6FD391F4" w14:textId="61741A1C" w:rsidR="003B02E8" w:rsidRDefault="003B02E8" w:rsidP="00C613C3">
            <w:pPr>
              <w:numPr>
                <w:ilvl w:val="0"/>
                <w:numId w:val="8"/>
              </w:numPr>
              <w:spacing w:before="60" w:line="240" w:lineRule="auto"/>
              <w:cnfStyle w:val="000000000000" w:firstRow="0" w:lastRow="0" w:firstColumn="0" w:lastColumn="0" w:oddVBand="0" w:evenVBand="0" w:oddHBand="0" w:evenHBand="0" w:firstRowFirstColumn="0" w:firstRowLastColumn="0" w:lastRowFirstColumn="0" w:lastRowLastColumn="0"/>
              <w:rPr>
                <w:rFonts w:cs="Arial"/>
                <w:szCs w:val="22"/>
              </w:rPr>
            </w:pPr>
            <w:r w:rsidRPr="00EE50E0">
              <w:rPr>
                <w:rFonts w:cs="Arial"/>
                <w:szCs w:val="22"/>
                <w:lang w:eastAsia="en-AU"/>
              </w:rPr>
              <w:t xml:space="preserve">opinions provided by the Supreme Court to the tribunal on questions of law in accordance </w:t>
            </w:r>
            <w:r w:rsidR="00C356CF">
              <w:rPr>
                <w:rFonts w:cs="Arial"/>
                <w:szCs w:val="22"/>
                <w:lang w:eastAsia="en-AU"/>
              </w:rPr>
              <w:t>with the legislation</w:t>
            </w:r>
          </w:p>
          <w:p w14:paraId="22932F9C" w14:textId="77777777" w:rsidR="006A7BB9" w:rsidRPr="00CB5D3E" w:rsidRDefault="003B02E8" w:rsidP="00C613C3">
            <w:pPr>
              <w:pStyle w:val="Tabletext"/>
              <w:numPr>
                <w:ilvl w:val="0"/>
                <w:numId w:val="8"/>
              </w:numPr>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3B02E8">
              <w:rPr>
                <w:rFonts w:cs="Arial"/>
                <w:sz w:val="22"/>
                <w:szCs w:val="22"/>
                <w:lang w:eastAsia="en-AU"/>
              </w:rPr>
              <w:t>certified agreements from the Anti-Discrimination Commission when parties settle before the commission in accordance with legislation.</w:t>
            </w:r>
          </w:p>
        </w:tc>
        <w:tc>
          <w:tcPr>
            <w:tcW w:w="703" w:type="pct"/>
          </w:tcPr>
          <w:p w14:paraId="039631CB" w14:textId="77777777" w:rsidR="006A7BB9" w:rsidRPr="00CB5D3E" w:rsidRDefault="003B02E8" w:rsidP="00C613C3">
            <w:pPr>
              <w:pStyle w:val="Table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Temporary</w:t>
            </w:r>
          </w:p>
        </w:tc>
        <w:tc>
          <w:tcPr>
            <w:tcW w:w="1018" w:type="pct"/>
          </w:tcPr>
          <w:p w14:paraId="3400DC1D" w14:textId="35BFB95E" w:rsidR="006A7BB9" w:rsidRPr="00CB5D3E" w:rsidRDefault="003B02E8"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9E42C5">
              <w:rPr>
                <w:rFonts w:cs="Arial"/>
                <w:sz w:val="22"/>
                <w:szCs w:val="22"/>
              </w:rPr>
              <w:t xml:space="preserve">Retain for 12 years after </w:t>
            </w:r>
            <w:r w:rsidR="000E3125">
              <w:rPr>
                <w:rFonts w:cs="Arial"/>
                <w:sz w:val="22"/>
                <w:szCs w:val="22"/>
              </w:rPr>
              <w:t>business</w:t>
            </w:r>
            <w:r w:rsidRPr="009E42C5">
              <w:rPr>
                <w:rFonts w:cs="Arial"/>
                <w:sz w:val="22"/>
                <w:szCs w:val="22"/>
              </w:rPr>
              <w:t xml:space="preserve"> action</w:t>
            </w:r>
            <w:r w:rsidR="000E3125">
              <w:rPr>
                <w:rFonts w:cs="Arial"/>
                <w:sz w:val="22"/>
                <w:szCs w:val="22"/>
              </w:rPr>
              <w:t xml:space="preserve"> completed</w:t>
            </w:r>
            <w:r w:rsidRPr="009E42C5">
              <w:rPr>
                <w:rFonts w:cs="Arial"/>
                <w:sz w:val="22"/>
                <w:szCs w:val="22"/>
              </w:rPr>
              <w:t xml:space="preserve"> and finalisation of all appeal processes.</w:t>
            </w:r>
          </w:p>
        </w:tc>
      </w:tr>
      <w:tr w:rsidR="003B02E8" w:rsidRPr="00CB5D3E" w14:paraId="7DF1773E" w14:textId="77777777" w:rsidTr="00D32AC7">
        <w:tblPrEx>
          <w:tblCellMar>
            <w:top w:w="57" w:type="dxa"/>
            <w:left w:w="119" w:type="dxa"/>
            <w:right w:w="119" w:type="dxa"/>
          </w:tblCellMar>
        </w:tblPrEx>
        <w:tc>
          <w:tcPr>
            <w:cnfStyle w:val="001000000000" w:firstRow="0" w:lastRow="0" w:firstColumn="1" w:lastColumn="0" w:oddVBand="0" w:evenVBand="0" w:oddHBand="0" w:evenHBand="0" w:firstRowFirstColumn="0" w:firstRowLastColumn="0" w:lastRowFirstColumn="0" w:lastRowLastColumn="0"/>
            <w:tcW w:w="401" w:type="pct"/>
            <w:tcBorders>
              <w:top w:val="single" w:sz="18" w:space="0" w:color="C0C0C0"/>
            </w:tcBorders>
            <w:shd w:val="clear" w:color="auto" w:fill="auto"/>
          </w:tcPr>
          <w:p w14:paraId="17582C23" w14:textId="7F905BEE" w:rsidR="003B02E8" w:rsidRPr="00CB5D3E" w:rsidRDefault="009E42C5" w:rsidP="00C613C3">
            <w:pPr>
              <w:pStyle w:val="Tabletext"/>
              <w:spacing w:before="60" w:after="60" w:line="240" w:lineRule="auto"/>
              <w:rPr>
                <w:sz w:val="22"/>
                <w:szCs w:val="22"/>
              </w:rPr>
            </w:pPr>
            <w:r>
              <w:rPr>
                <w:sz w:val="22"/>
                <w:szCs w:val="22"/>
              </w:rPr>
              <w:lastRenderedPageBreak/>
              <w:t>1.3</w:t>
            </w:r>
          </w:p>
        </w:tc>
        <w:tc>
          <w:tcPr>
            <w:tcW w:w="4599" w:type="pct"/>
            <w:gridSpan w:val="3"/>
          </w:tcPr>
          <w:p w14:paraId="2CA2051F" w14:textId="77777777" w:rsidR="003B02E8" w:rsidRPr="00471398" w:rsidRDefault="003B02E8"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b/>
                <w:sz w:val="22"/>
                <w:szCs w:val="22"/>
              </w:rPr>
            </w:pPr>
            <w:r w:rsidRPr="00471398">
              <w:rPr>
                <w:b/>
                <w:sz w:val="22"/>
                <w:szCs w:val="22"/>
              </w:rPr>
              <w:t>BUILDINGS</w:t>
            </w:r>
          </w:p>
          <w:p w14:paraId="25F688F9" w14:textId="0685F0CD" w:rsidR="003B02E8" w:rsidRPr="00722A08" w:rsidRDefault="003B02E8" w:rsidP="00C613C3">
            <w:pPr>
              <w:spacing w:before="60" w:line="240" w:lineRule="auto"/>
              <w:textAlignment w:val="baseline"/>
              <w:cnfStyle w:val="000000000000" w:firstRow="0" w:lastRow="0" w:firstColumn="0" w:lastColumn="0" w:oddVBand="0" w:evenVBand="0" w:oddHBand="0" w:evenHBand="0" w:firstRowFirstColumn="0" w:firstRowLastColumn="0" w:lastRowFirstColumn="0" w:lastRowLastColumn="0"/>
              <w:rPr>
                <w:rFonts w:cs="Arial"/>
                <w:i/>
                <w:color w:val="000000"/>
                <w:szCs w:val="22"/>
                <w:lang w:eastAsia="en-AU"/>
              </w:rPr>
            </w:pPr>
            <w:r w:rsidRPr="003B02E8">
              <w:rPr>
                <w:rFonts w:cs="Arial"/>
                <w:i/>
                <w:color w:val="000000"/>
                <w:szCs w:val="22"/>
                <w:lang w:eastAsia="en-AU"/>
              </w:rPr>
              <w:t xml:space="preserve">The process of hearing disputes between building owner and building contractor; two or more building contractors and building owner or a building contractor (includes architects, engineers, surveyors, quantity surveyors, electricians, suppliers and manufacturers of materials used in building works). </w:t>
            </w:r>
          </w:p>
        </w:tc>
      </w:tr>
      <w:tr w:rsidR="003B02E8" w:rsidRPr="00CB5D3E" w14:paraId="027F6F59" w14:textId="77777777" w:rsidTr="00D32AC7">
        <w:tblPrEx>
          <w:tblCellMar>
            <w:top w:w="57" w:type="dxa"/>
            <w:left w:w="119" w:type="dxa"/>
            <w:right w:w="119" w:type="dxa"/>
          </w:tblCellMar>
        </w:tblPrEx>
        <w:tc>
          <w:tcPr>
            <w:cnfStyle w:val="001000000000" w:firstRow="0" w:lastRow="0" w:firstColumn="1" w:lastColumn="0" w:oddVBand="0" w:evenVBand="0" w:oddHBand="0" w:evenHBand="0" w:firstRowFirstColumn="0" w:firstRowLastColumn="0" w:lastRowFirstColumn="0" w:lastRowLastColumn="0"/>
            <w:tcW w:w="401" w:type="pct"/>
            <w:shd w:val="clear" w:color="auto" w:fill="auto"/>
          </w:tcPr>
          <w:p w14:paraId="33788DF8" w14:textId="6023C1D4" w:rsidR="003B02E8" w:rsidRPr="00CB5D3E" w:rsidRDefault="009E42C5" w:rsidP="00C613C3">
            <w:pPr>
              <w:pStyle w:val="Tabletext"/>
              <w:spacing w:before="60" w:after="60" w:line="240" w:lineRule="auto"/>
              <w:rPr>
                <w:sz w:val="22"/>
                <w:szCs w:val="22"/>
              </w:rPr>
            </w:pPr>
            <w:r>
              <w:rPr>
                <w:sz w:val="22"/>
                <w:szCs w:val="22"/>
              </w:rPr>
              <w:t>1.3.1</w:t>
            </w:r>
          </w:p>
        </w:tc>
        <w:tc>
          <w:tcPr>
            <w:tcW w:w="2878" w:type="pct"/>
          </w:tcPr>
          <w:p w14:paraId="32EB3418" w14:textId="77777777" w:rsidR="003B02E8" w:rsidRPr="003B02E8" w:rsidRDefault="003B02E8"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b/>
                <w:i/>
                <w:sz w:val="22"/>
                <w:szCs w:val="22"/>
              </w:rPr>
            </w:pPr>
            <w:r w:rsidRPr="003B02E8">
              <w:rPr>
                <w:b/>
                <w:i/>
                <w:sz w:val="22"/>
                <w:szCs w:val="22"/>
              </w:rPr>
              <w:t>Building case files</w:t>
            </w:r>
          </w:p>
          <w:p w14:paraId="043A3DC3" w14:textId="77777777" w:rsidR="003B02E8" w:rsidRDefault="003B02E8"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Case management records relating to hearings to settle disputes of domestic and commercial </w:t>
            </w:r>
            <w:r w:rsidR="007E0566">
              <w:rPr>
                <w:sz w:val="22"/>
                <w:szCs w:val="22"/>
              </w:rPr>
              <w:t>building work and disciplinary proceedings against building certifiers and contractors.</w:t>
            </w:r>
          </w:p>
          <w:p w14:paraId="4960086D" w14:textId="77777777" w:rsidR="003B02E8" w:rsidRDefault="003B02E8"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Includes the review of decisions made by the Queensland Building and Construction Commission (QBCC)</w:t>
            </w:r>
            <w:r w:rsidR="00AC16A1">
              <w:rPr>
                <w:sz w:val="22"/>
                <w:szCs w:val="22"/>
              </w:rPr>
              <w:t xml:space="preserve"> or an adjudicator registrar.</w:t>
            </w:r>
          </w:p>
          <w:p w14:paraId="04302C58" w14:textId="77777777" w:rsidR="00AC16A1" w:rsidRDefault="00AC16A1"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Records may include, but are not limited to:</w:t>
            </w:r>
          </w:p>
          <w:p w14:paraId="4721F147" w14:textId="77777777" w:rsidR="00AC16A1" w:rsidRDefault="00AC16A1" w:rsidP="00C613C3">
            <w:pPr>
              <w:numPr>
                <w:ilvl w:val="0"/>
                <w:numId w:val="21"/>
              </w:numPr>
              <w:spacing w:before="60" w:line="240" w:lineRule="auto"/>
              <w:cnfStyle w:val="000000000000" w:firstRow="0" w:lastRow="0" w:firstColumn="0" w:lastColumn="0" w:oddVBand="0" w:evenVBand="0" w:oddHBand="0" w:evenHBand="0" w:firstRowFirstColumn="0" w:firstRowLastColumn="0" w:lastRowFirstColumn="0" w:lastRowLastColumn="0"/>
              <w:rPr>
                <w:rFonts w:cs="Arial"/>
                <w:szCs w:val="22"/>
                <w:lang w:eastAsia="en-AU"/>
              </w:rPr>
            </w:pPr>
            <w:r>
              <w:rPr>
                <w:rFonts w:cs="Arial"/>
                <w:szCs w:val="22"/>
                <w:lang w:eastAsia="en-AU"/>
              </w:rPr>
              <w:t>s</w:t>
            </w:r>
            <w:r w:rsidRPr="00B36EA1">
              <w:rPr>
                <w:rFonts w:cs="Arial"/>
                <w:szCs w:val="22"/>
                <w:lang w:eastAsia="en-AU"/>
              </w:rPr>
              <w:t xml:space="preserve">igned final hearings decisions </w:t>
            </w:r>
          </w:p>
          <w:p w14:paraId="7C320B4E" w14:textId="1312EEEA" w:rsidR="00AC16A1" w:rsidRDefault="00AC16A1" w:rsidP="00C613C3">
            <w:pPr>
              <w:numPr>
                <w:ilvl w:val="0"/>
                <w:numId w:val="21"/>
              </w:numPr>
              <w:spacing w:before="60" w:line="240" w:lineRule="auto"/>
              <w:cnfStyle w:val="000000000000" w:firstRow="0" w:lastRow="0" w:firstColumn="0" w:lastColumn="0" w:oddVBand="0" w:evenVBand="0" w:oddHBand="0" w:evenHBand="0" w:firstRowFirstColumn="0" w:firstRowLastColumn="0" w:lastRowFirstColumn="0" w:lastRowLastColumn="0"/>
              <w:rPr>
                <w:rFonts w:cs="Arial"/>
                <w:szCs w:val="22"/>
                <w:lang w:eastAsia="en-AU"/>
              </w:rPr>
            </w:pPr>
            <w:r w:rsidRPr="0049459B">
              <w:rPr>
                <w:rFonts w:cs="Arial"/>
                <w:szCs w:val="22"/>
                <w:lang w:eastAsia="en-AU"/>
              </w:rPr>
              <w:t xml:space="preserve">signed </w:t>
            </w:r>
            <w:r w:rsidR="005F5F35">
              <w:rPr>
                <w:rFonts w:cs="Arial"/>
                <w:szCs w:val="22"/>
                <w:lang w:eastAsia="en-AU"/>
              </w:rPr>
              <w:t>i</w:t>
            </w:r>
            <w:r w:rsidRPr="0049459B">
              <w:rPr>
                <w:rFonts w:cs="Arial"/>
                <w:szCs w:val="22"/>
                <w:lang w:eastAsia="en-AU"/>
              </w:rPr>
              <w:t xml:space="preserve">nterim </w:t>
            </w:r>
            <w:r w:rsidR="005F5F35">
              <w:rPr>
                <w:rFonts w:cs="Arial"/>
                <w:szCs w:val="22"/>
                <w:lang w:eastAsia="en-AU"/>
              </w:rPr>
              <w:t>o</w:t>
            </w:r>
            <w:r w:rsidRPr="0049459B">
              <w:rPr>
                <w:rFonts w:cs="Arial"/>
                <w:szCs w:val="22"/>
                <w:lang w:eastAsia="en-AU"/>
              </w:rPr>
              <w:t>rders/</w:t>
            </w:r>
            <w:r w:rsidR="005F5F35">
              <w:rPr>
                <w:rFonts w:cs="Arial"/>
                <w:szCs w:val="22"/>
                <w:lang w:eastAsia="en-AU"/>
              </w:rPr>
              <w:t>i</w:t>
            </w:r>
            <w:r w:rsidRPr="0049459B">
              <w:rPr>
                <w:rFonts w:cs="Arial"/>
                <w:szCs w:val="22"/>
                <w:lang w:eastAsia="en-AU"/>
              </w:rPr>
              <w:t>nterlocutory ma</w:t>
            </w:r>
            <w:r>
              <w:rPr>
                <w:rFonts w:cs="Arial"/>
                <w:szCs w:val="22"/>
                <w:lang w:eastAsia="en-AU"/>
              </w:rPr>
              <w:t>tters and decisions</w:t>
            </w:r>
          </w:p>
          <w:p w14:paraId="26E8995D" w14:textId="77777777" w:rsidR="00AC16A1" w:rsidRPr="0049459B" w:rsidRDefault="00AC16A1" w:rsidP="00C613C3">
            <w:pPr>
              <w:numPr>
                <w:ilvl w:val="0"/>
                <w:numId w:val="21"/>
              </w:numPr>
              <w:spacing w:before="60" w:line="240" w:lineRule="auto"/>
              <w:cnfStyle w:val="000000000000" w:firstRow="0" w:lastRow="0" w:firstColumn="0" w:lastColumn="0" w:oddVBand="0" w:evenVBand="0" w:oddHBand="0" w:evenHBand="0" w:firstRowFirstColumn="0" w:firstRowLastColumn="0" w:lastRowFirstColumn="0" w:lastRowLastColumn="0"/>
              <w:rPr>
                <w:rFonts w:cs="Arial"/>
                <w:szCs w:val="22"/>
                <w:lang w:eastAsia="en-AU"/>
              </w:rPr>
            </w:pPr>
            <w:r w:rsidRPr="0049459B">
              <w:rPr>
                <w:rFonts w:cs="Arial"/>
                <w:szCs w:val="22"/>
                <w:lang w:eastAsia="en-AU"/>
              </w:rPr>
              <w:t xml:space="preserve">complaint case files </w:t>
            </w:r>
          </w:p>
          <w:p w14:paraId="44503929" w14:textId="4560D4D3" w:rsidR="00AC16A1" w:rsidRPr="00AC16A1" w:rsidRDefault="00AC16A1" w:rsidP="00CB2032">
            <w:pPr>
              <w:numPr>
                <w:ilvl w:val="0"/>
                <w:numId w:val="21"/>
              </w:numPr>
              <w:spacing w:before="60" w:line="240" w:lineRule="auto"/>
              <w:cnfStyle w:val="000000000000" w:firstRow="0" w:lastRow="0" w:firstColumn="0" w:lastColumn="0" w:oddVBand="0" w:evenVBand="0" w:oddHBand="0" w:evenHBand="0" w:firstRowFirstColumn="0" w:firstRowLastColumn="0" w:lastRowFirstColumn="0" w:lastRowLastColumn="0"/>
              <w:rPr>
                <w:rFonts w:cs="Arial"/>
                <w:szCs w:val="22"/>
                <w:lang w:eastAsia="en-AU"/>
              </w:rPr>
            </w:pPr>
            <w:r>
              <w:rPr>
                <w:rFonts w:cs="Arial"/>
                <w:szCs w:val="22"/>
                <w:lang w:eastAsia="en-AU"/>
              </w:rPr>
              <w:t xml:space="preserve">hearing </w:t>
            </w:r>
            <w:r w:rsidRPr="00B36EA1">
              <w:rPr>
                <w:rFonts w:cs="Arial"/>
                <w:szCs w:val="22"/>
                <w:lang w:eastAsia="en-AU"/>
              </w:rPr>
              <w:t>transcripts (</w:t>
            </w:r>
            <w:r w:rsidR="005F5F35">
              <w:rPr>
                <w:rFonts w:cs="Arial"/>
                <w:szCs w:val="22"/>
                <w:lang w:eastAsia="en-AU"/>
              </w:rPr>
              <w:t>i</w:t>
            </w:r>
            <w:r>
              <w:rPr>
                <w:rFonts w:cs="Arial"/>
                <w:szCs w:val="22"/>
                <w:lang w:eastAsia="en-AU"/>
              </w:rPr>
              <w:t>ncludes m</w:t>
            </w:r>
            <w:r w:rsidRPr="00B36EA1">
              <w:rPr>
                <w:rFonts w:cs="Arial"/>
                <w:szCs w:val="22"/>
                <w:lang w:eastAsia="en-AU"/>
              </w:rPr>
              <w:t>aster, transcribed and untranscribed)</w:t>
            </w:r>
            <w:r>
              <w:rPr>
                <w:rFonts w:cs="Arial"/>
                <w:szCs w:val="22"/>
                <w:lang w:eastAsia="en-AU"/>
              </w:rPr>
              <w:t>.</w:t>
            </w:r>
          </w:p>
        </w:tc>
        <w:tc>
          <w:tcPr>
            <w:tcW w:w="703" w:type="pct"/>
          </w:tcPr>
          <w:p w14:paraId="54ADB275" w14:textId="77777777" w:rsidR="003B02E8" w:rsidRPr="00CB5D3E" w:rsidRDefault="00AC16A1" w:rsidP="00C613C3">
            <w:pPr>
              <w:pStyle w:val="Table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Temporary</w:t>
            </w:r>
          </w:p>
        </w:tc>
        <w:tc>
          <w:tcPr>
            <w:tcW w:w="1018" w:type="pct"/>
          </w:tcPr>
          <w:p w14:paraId="26A4272B" w14:textId="20C8425F" w:rsidR="003B02E8" w:rsidRPr="00CB5D3E" w:rsidRDefault="00AC16A1"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0E5756">
              <w:rPr>
                <w:rFonts w:cs="Arial"/>
                <w:sz w:val="22"/>
                <w:szCs w:val="22"/>
              </w:rPr>
              <w:t xml:space="preserve">Retain for 12 years after </w:t>
            </w:r>
            <w:r w:rsidR="000E3125">
              <w:rPr>
                <w:rFonts w:cs="Arial"/>
                <w:sz w:val="22"/>
                <w:szCs w:val="22"/>
              </w:rPr>
              <w:t>business</w:t>
            </w:r>
            <w:r w:rsidRPr="000E5756">
              <w:rPr>
                <w:rFonts w:cs="Arial"/>
                <w:sz w:val="22"/>
                <w:szCs w:val="22"/>
              </w:rPr>
              <w:t xml:space="preserve"> action</w:t>
            </w:r>
            <w:r w:rsidR="000E3125">
              <w:rPr>
                <w:rFonts w:cs="Arial"/>
                <w:sz w:val="22"/>
                <w:szCs w:val="22"/>
              </w:rPr>
              <w:t xml:space="preserve"> completed</w:t>
            </w:r>
            <w:r w:rsidRPr="000E5756">
              <w:rPr>
                <w:rFonts w:cs="Arial"/>
                <w:sz w:val="22"/>
                <w:szCs w:val="22"/>
              </w:rPr>
              <w:t xml:space="preserve"> and finalisation of all appeal processes</w:t>
            </w:r>
            <w:r>
              <w:rPr>
                <w:rFonts w:cs="Arial"/>
                <w:sz w:val="22"/>
                <w:szCs w:val="22"/>
              </w:rPr>
              <w:t>.</w:t>
            </w:r>
          </w:p>
        </w:tc>
      </w:tr>
      <w:tr w:rsidR="006A7BB9" w:rsidRPr="00CB5D3E" w14:paraId="1A92EB26" w14:textId="77777777" w:rsidTr="00563DC3">
        <w:tblPrEx>
          <w:tblCellMar>
            <w:top w:w="57" w:type="dxa"/>
            <w:left w:w="119" w:type="dxa"/>
            <w:right w:w="119" w:type="dxa"/>
          </w:tblCellMar>
        </w:tblPrEx>
        <w:tc>
          <w:tcPr>
            <w:cnfStyle w:val="001000000000" w:firstRow="0" w:lastRow="0" w:firstColumn="1" w:lastColumn="0" w:oddVBand="0" w:evenVBand="0" w:oddHBand="0" w:evenHBand="0" w:firstRowFirstColumn="0" w:firstRowLastColumn="0" w:lastRowFirstColumn="0" w:lastRowLastColumn="0"/>
            <w:tcW w:w="401" w:type="pct"/>
            <w:shd w:val="clear" w:color="auto" w:fill="auto"/>
          </w:tcPr>
          <w:p w14:paraId="6DDF4AD3" w14:textId="56CFD255" w:rsidR="006A7BB9" w:rsidRPr="00CB5D3E" w:rsidRDefault="009E42C5" w:rsidP="00C613C3">
            <w:pPr>
              <w:pStyle w:val="Tabletext"/>
              <w:spacing w:before="60" w:after="60" w:line="240" w:lineRule="auto"/>
              <w:rPr>
                <w:sz w:val="22"/>
                <w:szCs w:val="22"/>
              </w:rPr>
            </w:pPr>
            <w:r>
              <w:rPr>
                <w:sz w:val="22"/>
                <w:szCs w:val="22"/>
              </w:rPr>
              <w:t>1.4</w:t>
            </w:r>
          </w:p>
        </w:tc>
        <w:tc>
          <w:tcPr>
            <w:tcW w:w="4599" w:type="pct"/>
            <w:gridSpan w:val="3"/>
          </w:tcPr>
          <w:p w14:paraId="2A4661EA" w14:textId="77777777" w:rsidR="003B02E8" w:rsidRPr="00471398" w:rsidRDefault="003B02E8"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b/>
                <w:sz w:val="22"/>
                <w:szCs w:val="22"/>
              </w:rPr>
            </w:pPr>
            <w:bookmarkStart w:id="28" w:name="ChildrenYoungPeople"/>
            <w:r w:rsidRPr="00471398">
              <w:rPr>
                <w:rFonts w:cs="Arial"/>
                <w:b/>
                <w:sz w:val="22"/>
                <w:szCs w:val="22"/>
              </w:rPr>
              <w:t>C</w:t>
            </w:r>
            <w:r w:rsidR="007E0566" w:rsidRPr="00471398">
              <w:rPr>
                <w:rFonts w:cs="Arial"/>
                <w:b/>
                <w:sz w:val="22"/>
                <w:szCs w:val="22"/>
              </w:rPr>
              <w:t>HILDREN AND YOUNG PEOPLE</w:t>
            </w:r>
          </w:p>
          <w:bookmarkEnd w:id="28"/>
          <w:p w14:paraId="69270FB8" w14:textId="0FEBA754" w:rsidR="006A7BB9" w:rsidRPr="00CB5D3E" w:rsidRDefault="003B02E8" w:rsidP="00305568">
            <w:pPr>
              <w:pStyle w:val="ListNumber"/>
              <w:numPr>
                <w:ilvl w:val="0"/>
                <w:numId w:val="0"/>
              </w:numPr>
              <w:spacing w:line="240" w:lineRule="auto"/>
              <w:cnfStyle w:val="000000000000" w:firstRow="0" w:lastRow="0" w:firstColumn="0" w:lastColumn="0" w:oddVBand="0" w:evenVBand="0" w:oddHBand="0" w:evenHBand="0" w:firstRowFirstColumn="0" w:firstRowLastColumn="0" w:lastRowFirstColumn="0" w:lastRowLastColumn="0"/>
              <w:rPr>
                <w:i/>
                <w:szCs w:val="22"/>
              </w:rPr>
            </w:pPr>
            <w:r w:rsidRPr="003B02E8">
              <w:rPr>
                <w:rFonts w:cs="Arial"/>
                <w:i/>
                <w:szCs w:val="22"/>
                <w:lang w:eastAsia="en-AU"/>
              </w:rPr>
              <w:t>The process of reviewing decisions made by the Department of Communities</w:t>
            </w:r>
            <w:r w:rsidR="007B5A8A">
              <w:rPr>
                <w:rFonts w:cs="Arial"/>
                <w:i/>
                <w:szCs w:val="22"/>
                <w:lang w:eastAsia="en-AU"/>
              </w:rPr>
              <w:t>, Child Safety and Disability Services a</w:t>
            </w:r>
            <w:r w:rsidRPr="003B02E8">
              <w:rPr>
                <w:rFonts w:cs="Arial"/>
                <w:i/>
                <w:szCs w:val="22"/>
                <w:lang w:eastAsia="en-AU"/>
              </w:rPr>
              <w:t>nd the Public Safety Business Agency</w:t>
            </w:r>
            <w:r w:rsidR="007E0566">
              <w:rPr>
                <w:rFonts w:cs="Arial"/>
                <w:i/>
                <w:szCs w:val="22"/>
                <w:lang w:eastAsia="en-AU"/>
              </w:rPr>
              <w:t xml:space="preserve"> under the </w:t>
            </w:r>
            <w:r w:rsidRPr="003B02E8">
              <w:rPr>
                <w:rFonts w:cs="Arial"/>
                <w:i/>
                <w:szCs w:val="22"/>
                <w:lang w:eastAsia="en-AU"/>
              </w:rPr>
              <w:t>Adoption Act 2009</w:t>
            </w:r>
            <w:r w:rsidR="007E0566">
              <w:rPr>
                <w:rFonts w:cs="Arial"/>
                <w:i/>
                <w:szCs w:val="22"/>
                <w:lang w:eastAsia="en-AU"/>
              </w:rPr>
              <w:t xml:space="preserve">, </w:t>
            </w:r>
            <w:r w:rsidRPr="003B02E8">
              <w:rPr>
                <w:rFonts w:cs="Arial"/>
                <w:i/>
                <w:szCs w:val="22"/>
                <w:lang w:eastAsia="en-AU"/>
              </w:rPr>
              <w:t>Child Protection Act 1999</w:t>
            </w:r>
            <w:r w:rsidR="007E0566">
              <w:rPr>
                <w:rFonts w:cs="Arial"/>
                <w:i/>
                <w:szCs w:val="22"/>
                <w:lang w:eastAsia="en-AU"/>
              </w:rPr>
              <w:t xml:space="preserve">, , </w:t>
            </w:r>
            <w:r w:rsidRPr="003B02E8">
              <w:rPr>
                <w:rFonts w:cs="Arial"/>
                <w:i/>
                <w:szCs w:val="22"/>
                <w:lang w:eastAsia="en-AU"/>
              </w:rPr>
              <w:t>Educatio</w:t>
            </w:r>
            <w:r w:rsidR="007E0566">
              <w:rPr>
                <w:rFonts w:cs="Arial"/>
                <w:i/>
                <w:szCs w:val="22"/>
                <w:lang w:eastAsia="en-AU"/>
              </w:rPr>
              <w:t xml:space="preserve">n (General Provisions) Act 2006 and </w:t>
            </w:r>
            <w:r w:rsidRPr="003B02E8">
              <w:rPr>
                <w:rFonts w:cs="Arial"/>
                <w:i/>
                <w:szCs w:val="22"/>
                <w:lang w:eastAsia="en-AU"/>
              </w:rPr>
              <w:t>Queensland Civil and Administrative Tribunal Act 2009.</w:t>
            </w:r>
          </w:p>
        </w:tc>
      </w:tr>
      <w:tr w:rsidR="006A7BB9" w:rsidRPr="00CB5D3E" w14:paraId="07B47CBA" w14:textId="77777777" w:rsidTr="00563DC3">
        <w:tblPrEx>
          <w:tblCellMar>
            <w:top w:w="57" w:type="dxa"/>
            <w:left w:w="119" w:type="dxa"/>
            <w:right w:w="119" w:type="dxa"/>
          </w:tblCellMar>
        </w:tblPrEx>
        <w:tc>
          <w:tcPr>
            <w:cnfStyle w:val="001000000000" w:firstRow="0" w:lastRow="0" w:firstColumn="1" w:lastColumn="0" w:oddVBand="0" w:evenVBand="0" w:oddHBand="0" w:evenHBand="0" w:firstRowFirstColumn="0" w:firstRowLastColumn="0" w:lastRowFirstColumn="0" w:lastRowLastColumn="0"/>
            <w:tcW w:w="401" w:type="pct"/>
            <w:shd w:val="clear" w:color="auto" w:fill="auto"/>
          </w:tcPr>
          <w:p w14:paraId="1153DA76" w14:textId="7DC4EB6E" w:rsidR="006A7BB9" w:rsidRPr="00CB5D3E" w:rsidRDefault="009E42C5" w:rsidP="00C613C3">
            <w:pPr>
              <w:pStyle w:val="Tabletext"/>
              <w:spacing w:before="60" w:after="60" w:line="240" w:lineRule="auto"/>
              <w:rPr>
                <w:sz w:val="22"/>
                <w:szCs w:val="22"/>
              </w:rPr>
            </w:pPr>
            <w:r>
              <w:rPr>
                <w:sz w:val="22"/>
                <w:szCs w:val="22"/>
              </w:rPr>
              <w:t>1.4.1</w:t>
            </w:r>
          </w:p>
        </w:tc>
        <w:tc>
          <w:tcPr>
            <w:tcW w:w="2878" w:type="pct"/>
          </w:tcPr>
          <w:p w14:paraId="58F0A98C" w14:textId="77777777" w:rsidR="003B02E8" w:rsidRPr="0060396E" w:rsidRDefault="003B02E8" w:rsidP="00C613C3">
            <w:pPr>
              <w:spacing w:before="60" w:line="240" w:lineRule="auto"/>
              <w:cnfStyle w:val="000000000000" w:firstRow="0" w:lastRow="0" w:firstColumn="0" w:lastColumn="0" w:oddVBand="0" w:evenVBand="0" w:oddHBand="0" w:evenHBand="0" w:firstRowFirstColumn="0" w:firstRowLastColumn="0" w:lastRowFirstColumn="0" w:lastRowLastColumn="0"/>
              <w:rPr>
                <w:b/>
                <w:i/>
                <w:szCs w:val="22"/>
              </w:rPr>
            </w:pPr>
            <w:r w:rsidRPr="0060396E">
              <w:rPr>
                <w:b/>
                <w:i/>
                <w:szCs w:val="22"/>
              </w:rPr>
              <w:t>Child matters case files</w:t>
            </w:r>
          </w:p>
          <w:p w14:paraId="23A5410B" w14:textId="77777777" w:rsidR="003B02E8" w:rsidRDefault="003B02E8" w:rsidP="00C613C3">
            <w:pPr>
              <w:spacing w:before="60"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Case management records relating to the review of decisions made by the Department of Communities, including Child Safety Services and the Public Safety Business Agency that have been referred to QCAT.</w:t>
            </w:r>
          </w:p>
          <w:p w14:paraId="15BD0D07" w14:textId="77777777" w:rsidR="007E0566" w:rsidRDefault="007E0566" w:rsidP="00C613C3">
            <w:pPr>
              <w:spacing w:before="60"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Review of decisions include:</w:t>
            </w:r>
          </w:p>
          <w:p w14:paraId="10A98AB4" w14:textId="77777777" w:rsidR="007E0566" w:rsidRPr="007E0566" w:rsidRDefault="007E0566" w:rsidP="00C613C3">
            <w:pPr>
              <w:numPr>
                <w:ilvl w:val="0"/>
                <w:numId w:val="28"/>
              </w:numPr>
              <w:spacing w:before="60"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 xml:space="preserve">children and young people: </w:t>
            </w:r>
            <w:r w:rsidRPr="007E0566">
              <w:rPr>
                <w:rFonts w:cs="Arial"/>
                <w:szCs w:val="22"/>
                <w:lang w:eastAsia="en-AU"/>
              </w:rPr>
              <w:t>who they should live with, not telling their parents where they are living, the amount and type of contact between them and their parents, other care arrangements</w:t>
            </w:r>
          </w:p>
          <w:p w14:paraId="533AE7F7" w14:textId="77777777" w:rsidR="007E0566" w:rsidRPr="007E0566" w:rsidRDefault="007E0566" w:rsidP="00C613C3">
            <w:pPr>
              <w:numPr>
                <w:ilvl w:val="0"/>
                <w:numId w:val="28"/>
              </w:numPr>
              <w:spacing w:before="60" w:line="240" w:lineRule="auto"/>
              <w:cnfStyle w:val="000000000000" w:firstRow="0" w:lastRow="0" w:firstColumn="0" w:lastColumn="0" w:oddVBand="0" w:evenVBand="0" w:oddHBand="0" w:evenHBand="0" w:firstRowFirstColumn="0" w:firstRowLastColumn="0" w:lastRowFirstColumn="0" w:lastRowLastColumn="0"/>
              <w:rPr>
                <w:szCs w:val="22"/>
              </w:rPr>
            </w:pPr>
            <w:r>
              <w:rPr>
                <w:rFonts w:cs="Arial"/>
                <w:szCs w:val="22"/>
                <w:lang w:eastAsia="en-AU"/>
              </w:rPr>
              <w:t>people who have applied to adopt a child</w:t>
            </w:r>
          </w:p>
          <w:p w14:paraId="1581708E" w14:textId="77777777" w:rsidR="007E0566" w:rsidRPr="007E0566" w:rsidRDefault="007E0566" w:rsidP="00C613C3">
            <w:pPr>
              <w:numPr>
                <w:ilvl w:val="0"/>
                <w:numId w:val="28"/>
              </w:numPr>
              <w:spacing w:before="60" w:line="240" w:lineRule="auto"/>
              <w:cnfStyle w:val="000000000000" w:firstRow="0" w:lastRow="0" w:firstColumn="0" w:lastColumn="0" w:oddVBand="0" w:evenVBand="0" w:oddHBand="0" w:evenHBand="0" w:firstRowFirstColumn="0" w:firstRowLastColumn="0" w:lastRowFirstColumn="0" w:lastRowLastColumn="0"/>
              <w:rPr>
                <w:szCs w:val="22"/>
              </w:rPr>
            </w:pPr>
            <w:r>
              <w:rPr>
                <w:rFonts w:cs="Arial"/>
                <w:szCs w:val="22"/>
                <w:lang w:eastAsia="en-AU"/>
              </w:rPr>
              <w:t>licensing a childcare centre</w:t>
            </w:r>
          </w:p>
          <w:p w14:paraId="21C7A9DD" w14:textId="77777777" w:rsidR="007E0566" w:rsidRPr="007E0566" w:rsidRDefault="007E0566" w:rsidP="00C613C3">
            <w:pPr>
              <w:numPr>
                <w:ilvl w:val="0"/>
                <w:numId w:val="28"/>
              </w:numPr>
              <w:spacing w:before="60" w:line="240" w:lineRule="auto"/>
              <w:cnfStyle w:val="000000000000" w:firstRow="0" w:lastRow="0" w:firstColumn="0" w:lastColumn="0" w:oddVBand="0" w:evenVBand="0" w:oddHBand="0" w:evenHBand="0" w:firstRowFirstColumn="0" w:firstRowLastColumn="0" w:lastRowFirstColumn="0" w:lastRowLastColumn="0"/>
              <w:rPr>
                <w:szCs w:val="22"/>
              </w:rPr>
            </w:pPr>
            <w:r>
              <w:rPr>
                <w:rFonts w:cs="Arial"/>
                <w:szCs w:val="22"/>
                <w:lang w:eastAsia="en-AU"/>
              </w:rPr>
              <w:lastRenderedPageBreak/>
              <w:t>prohibiting a person from entering a school or state instructional institution.</w:t>
            </w:r>
          </w:p>
          <w:p w14:paraId="03CC588F" w14:textId="77777777" w:rsidR="003B02E8" w:rsidRPr="003026B5" w:rsidRDefault="003B02E8" w:rsidP="00C613C3">
            <w:pPr>
              <w:spacing w:before="60" w:line="240" w:lineRule="auto"/>
              <w:cnfStyle w:val="000000000000" w:firstRow="0" w:lastRow="0" w:firstColumn="0" w:lastColumn="0" w:oddVBand="0" w:evenVBand="0" w:oddHBand="0" w:evenHBand="0" w:firstRowFirstColumn="0" w:firstRowLastColumn="0" w:lastRowFirstColumn="0" w:lastRowLastColumn="0"/>
              <w:rPr>
                <w:rFonts w:cs="Arial"/>
                <w:szCs w:val="22"/>
                <w:lang w:eastAsia="en-AU"/>
              </w:rPr>
            </w:pPr>
            <w:r w:rsidRPr="003026B5">
              <w:rPr>
                <w:szCs w:val="22"/>
              </w:rPr>
              <w:t>Records may include, but are not limited to:</w:t>
            </w:r>
          </w:p>
          <w:p w14:paraId="516E0E2F" w14:textId="77777777" w:rsidR="003B02E8" w:rsidRDefault="003B02E8" w:rsidP="00214132">
            <w:pPr>
              <w:numPr>
                <w:ilvl w:val="0"/>
                <w:numId w:val="8"/>
              </w:numPr>
              <w:spacing w:before="60" w:line="240" w:lineRule="auto"/>
              <w:cnfStyle w:val="000000000000" w:firstRow="0" w:lastRow="0" w:firstColumn="0" w:lastColumn="0" w:oddVBand="0" w:evenVBand="0" w:oddHBand="0" w:evenHBand="0" w:firstRowFirstColumn="0" w:firstRowLastColumn="0" w:lastRowFirstColumn="0" w:lastRowLastColumn="0"/>
              <w:rPr>
                <w:rFonts w:cs="Arial"/>
                <w:szCs w:val="22"/>
                <w:lang w:eastAsia="en-AU"/>
              </w:rPr>
            </w:pPr>
            <w:r w:rsidRPr="0049459B">
              <w:rPr>
                <w:rFonts w:cs="Arial"/>
                <w:szCs w:val="22"/>
                <w:lang w:eastAsia="en-AU"/>
              </w:rPr>
              <w:t xml:space="preserve">signed </w:t>
            </w:r>
            <w:r>
              <w:rPr>
                <w:rFonts w:cs="Arial"/>
                <w:szCs w:val="22"/>
                <w:lang w:eastAsia="en-AU"/>
              </w:rPr>
              <w:t>final hearing</w:t>
            </w:r>
            <w:r w:rsidRPr="0049459B">
              <w:rPr>
                <w:rFonts w:cs="Arial"/>
                <w:szCs w:val="22"/>
                <w:lang w:eastAsia="en-AU"/>
              </w:rPr>
              <w:t xml:space="preserve"> decisions </w:t>
            </w:r>
          </w:p>
          <w:p w14:paraId="06230FAC" w14:textId="34B0B5FD" w:rsidR="003B02E8" w:rsidRPr="0049459B" w:rsidRDefault="008974D0" w:rsidP="00214132">
            <w:pPr>
              <w:numPr>
                <w:ilvl w:val="0"/>
                <w:numId w:val="8"/>
              </w:numPr>
              <w:spacing w:before="60" w:line="240" w:lineRule="auto"/>
              <w:cnfStyle w:val="000000000000" w:firstRow="0" w:lastRow="0" w:firstColumn="0" w:lastColumn="0" w:oddVBand="0" w:evenVBand="0" w:oddHBand="0" w:evenHBand="0" w:firstRowFirstColumn="0" w:firstRowLastColumn="0" w:lastRowFirstColumn="0" w:lastRowLastColumn="0"/>
              <w:rPr>
                <w:rFonts w:cs="Arial"/>
                <w:szCs w:val="22"/>
                <w:lang w:eastAsia="en-AU"/>
              </w:rPr>
            </w:pPr>
            <w:r>
              <w:rPr>
                <w:rFonts w:cs="Arial"/>
                <w:szCs w:val="22"/>
                <w:lang w:eastAsia="en-AU"/>
              </w:rPr>
              <w:t xml:space="preserve">signed </w:t>
            </w:r>
            <w:r w:rsidR="003B02E8">
              <w:rPr>
                <w:rFonts w:cs="Arial"/>
                <w:szCs w:val="22"/>
                <w:lang w:eastAsia="en-AU"/>
              </w:rPr>
              <w:t>i</w:t>
            </w:r>
            <w:r w:rsidR="003B02E8" w:rsidRPr="0049459B">
              <w:rPr>
                <w:rFonts w:cs="Arial"/>
                <w:szCs w:val="22"/>
                <w:lang w:eastAsia="en-AU"/>
              </w:rPr>
              <w:t xml:space="preserve">nterim </w:t>
            </w:r>
            <w:r w:rsidR="005F5F35">
              <w:rPr>
                <w:rFonts w:cs="Arial"/>
                <w:szCs w:val="22"/>
                <w:lang w:eastAsia="en-AU"/>
              </w:rPr>
              <w:t>o</w:t>
            </w:r>
            <w:r w:rsidR="003B02E8" w:rsidRPr="0049459B">
              <w:rPr>
                <w:rFonts w:cs="Arial"/>
                <w:szCs w:val="22"/>
                <w:lang w:eastAsia="en-AU"/>
              </w:rPr>
              <w:t>rders/</w:t>
            </w:r>
            <w:r w:rsidR="005F5F35">
              <w:rPr>
                <w:rFonts w:cs="Arial"/>
                <w:szCs w:val="22"/>
                <w:lang w:eastAsia="en-AU"/>
              </w:rPr>
              <w:t>i</w:t>
            </w:r>
            <w:r w:rsidR="003B02E8" w:rsidRPr="0049459B">
              <w:rPr>
                <w:rFonts w:cs="Arial"/>
                <w:szCs w:val="22"/>
                <w:lang w:eastAsia="en-AU"/>
              </w:rPr>
              <w:t xml:space="preserve">nterlocutory </w:t>
            </w:r>
            <w:r w:rsidR="005F5F35">
              <w:rPr>
                <w:rFonts w:cs="Arial"/>
                <w:szCs w:val="22"/>
                <w:lang w:eastAsia="en-AU"/>
              </w:rPr>
              <w:t>m</w:t>
            </w:r>
            <w:r w:rsidR="003B02E8" w:rsidRPr="0049459B">
              <w:rPr>
                <w:rFonts w:cs="Arial"/>
                <w:szCs w:val="22"/>
                <w:lang w:eastAsia="en-AU"/>
              </w:rPr>
              <w:t>atters</w:t>
            </w:r>
            <w:r w:rsidR="003B02E8">
              <w:rPr>
                <w:rFonts w:cs="Arial"/>
                <w:szCs w:val="22"/>
                <w:lang w:eastAsia="en-AU"/>
              </w:rPr>
              <w:t xml:space="preserve"> and decisions</w:t>
            </w:r>
          </w:p>
          <w:p w14:paraId="0A1CF0DC" w14:textId="77777777" w:rsidR="003B02E8" w:rsidRDefault="003B02E8" w:rsidP="00214132">
            <w:pPr>
              <w:numPr>
                <w:ilvl w:val="0"/>
                <w:numId w:val="8"/>
              </w:numPr>
              <w:spacing w:before="60" w:line="240" w:lineRule="auto"/>
              <w:cnfStyle w:val="000000000000" w:firstRow="0" w:lastRow="0" w:firstColumn="0" w:lastColumn="0" w:oddVBand="0" w:evenVBand="0" w:oddHBand="0" w:evenHBand="0" w:firstRowFirstColumn="0" w:firstRowLastColumn="0" w:lastRowFirstColumn="0" w:lastRowLastColumn="0"/>
              <w:rPr>
                <w:rFonts w:cs="Arial"/>
                <w:szCs w:val="22"/>
                <w:lang w:eastAsia="en-AU"/>
              </w:rPr>
            </w:pPr>
            <w:r>
              <w:rPr>
                <w:rFonts w:cs="Arial"/>
                <w:szCs w:val="22"/>
                <w:lang w:eastAsia="en-AU"/>
              </w:rPr>
              <w:t>complaints case files</w:t>
            </w:r>
          </w:p>
          <w:p w14:paraId="1350E451" w14:textId="2ED186C2" w:rsidR="006A7BB9" w:rsidRPr="00CB5D3E" w:rsidRDefault="003B02E8" w:rsidP="00CB2032">
            <w:pPr>
              <w:pStyle w:val="Tabletext"/>
              <w:numPr>
                <w:ilvl w:val="0"/>
                <w:numId w:val="8"/>
              </w:numPr>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3B02E8">
              <w:rPr>
                <w:rFonts w:cs="Arial"/>
                <w:sz w:val="22"/>
                <w:szCs w:val="22"/>
                <w:lang w:eastAsia="en-AU"/>
              </w:rPr>
              <w:t>transcripts (</w:t>
            </w:r>
            <w:r w:rsidR="005F5F35">
              <w:rPr>
                <w:rFonts w:cs="Arial"/>
                <w:sz w:val="22"/>
                <w:szCs w:val="22"/>
                <w:lang w:eastAsia="en-AU"/>
              </w:rPr>
              <w:t>i</w:t>
            </w:r>
            <w:r w:rsidRPr="003B02E8">
              <w:rPr>
                <w:rFonts w:cs="Arial"/>
                <w:sz w:val="22"/>
                <w:szCs w:val="22"/>
                <w:lang w:eastAsia="en-AU"/>
              </w:rPr>
              <w:t>ncludes master, transcribed and untranscribed).</w:t>
            </w:r>
          </w:p>
        </w:tc>
        <w:tc>
          <w:tcPr>
            <w:tcW w:w="703" w:type="pct"/>
          </w:tcPr>
          <w:p w14:paraId="2153BA57" w14:textId="77777777" w:rsidR="006A7BB9" w:rsidRPr="00CB5D3E" w:rsidRDefault="003B02E8" w:rsidP="00C613C3">
            <w:pPr>
              <w:pStyle w:val="Table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lastRenderedPageBreak/>
              <w:t>Permanent</w:t>
            </w:r>
          </w:p>
        </w:tc>
        <w:tc>
          <w:tcPr>
            <w:tcW w:w="1018" w:type="pct"/>
          </w:tcPr>
          <w:p w14:paraId="242056F3" w14:textId="77777777" w:rsidR="006A7BB9" w:rsidRPr="00CB5D3E" w:rsidRDefault="003B02E8"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Retain permanently.</w:t>
            </w:r>
          </w:p>
        </w:tc>
      </w:tr>
      <w:tr w:rsidR="003B02E8" w:rsidRPr="00CB5D3E" w14:paraId="707D7967" w14:textId="77777777" w:rsidTr="00722A08">
        <w:tblPrEx>
          <w:tblCellMar>
            <w:top w:w="57" w:type="dxa"/>
            <w:left w:w="119" w:type="dxa"/>
            <w:right w:w="119" w:type="dxa"/>
          </w:tblCellMar>
        </w:tblPrEx>
        <w:trPr>
          <w:trHeight w:val="750"/>
        </w:trPr>
        <w:tc>
          <w:tcPr>
            <w:cnfStyle w:val="001000000000" w:firstRow="0" w:lastRow="0" w:firstColumn="1" w:lastColumn="0" w:oddVBand="0" w:evenVBand="0" w:oddHBand="0" w:evenHBand="0" w:firstRowFirstColumn="0" w:firstRowLastColumn="0" w:lastRowFirstColumn="0" w:lastRowLastColumn="0"/>
            <w:tcW w:w="401" w:type="pct"/>
            <w:shd w:val="clear" w:color="auto" w:fill="auto"/>
          </w:tcPr>
          <w:p w14:paraId="322193E2" w14:textId="0688D207" w:rsidR="003B02E8" w:rsidRPr="00CB5D3E" w:rsidRDefault="009E42C5" w:rsidP="00C613C3">
            <w:pPr>
              <w:pStyle w:val="Tabletext"/>
              <w:spacing w:before="60" w:after="60" w:line="240" w:lineRule="auto"/>
              <w:rPr>
                <w:sz w:val="22"/>
                <w:szCs w:val="22"/>
              </w:rPr>
            </w:pPr>
            <w:r>
              <w:rPr>
                <w:sz w:val="22"/>
                <w:szCs w:val="22"/>
              </w:rPr>
              <w:t>1.5</w:t>
            </w:r>
          </w:p>
        </w:tc>
        <w:tc>
          <w:tcPr>
            <w:tcW w:w="4599" w:type="pct"/>
            <w:gridSpan w:val="3"/>
          </w:tcPr>
          <w:p w14:paraId="4D33144D" w14:textId="77777777" w:rsidR="003B02E8" w:rsidRPr="00471398" w:rsidRDefault="003B02E8"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b/>
                <w:caps/>
                <w:sz w:val="22"/>
                <w:szCs w:val="22"/>
              </w:rPr>
            </w:pPr>
            <w:r w:rsidRPr="00471398">
              <w:rPr>
                <w:rFonts w:cs="Arial"/>
                <w:b/>
                <w:caps/>
                <w:sz w:val="22"/>
                <w:szCs w:val="22"/>
              </w:rPr>
              <w:t>Clinical ResearcH</w:t>
            </w:r>
          </w:p>
          <w:p w14:paraId="79EC120D" w14:textId="2E94F904" w:rsidR="003B02E8" w:rsidRPr="00722A08" w:rsidRDefault="003B02E8" w:rsidP="007F45DD">
            <w:pPr>
              <w:autoSpaceDE w:val="0"/>
              <w:autoSpaceDN w:val="0"/>
              <w:adjustRightInd w:val="0"/>
              <w:spacing w:before="60" w:line="240" w:lineRule="auto"/>
              <w:cnfStyle w:val="000000000000" w:firstRow="0" w:lastRow="0" w:firstColumn="0" w:lastColumn="0" w:oddVBand="0" w:evenVBand="0" w:oddHBand="0" w:evenHBand="0" w:firstRowFirstColumn="0" w:firstRowLastColumn="0" w:lastRowFirstColumn="0" w:lastRowLastColumn="0"/>
              <w:rPr>
                <w:rFonts w:cs="Arial"/>
                <w:i/>
                <w:szCs w:val="22"/>
                <w:lang w:eastAsia="en-AU"/>
              </w:rPr>
            </w:pPr>
            <w:r w:rsidRPr="00640ADE">
              <w:rPr>
                <w:rFonts w:cs="Arial"/>
                <w:i/>
                <w:szCs w:val="22"/>
                <w:lang w:eastAsia="en-AU"/>
              </w:rPr>
              <w:t>The process of approving</w:t>
            </w:r>
            <w:r w:rsidR="00C613C3">
              <w:rPr>
                <w:rFonts w:cs="Arial"/>
                <w:i/>
                <w:szCs w:val="22"/>
                <w:lang w:eastAsia="en-AU"/>
              </w:rPr>
              <w:t xml:space="preserve"> </w:t>
            </w:r>
            <w:r w:rsidR="007F45DD">
              <w:rPr>
                <w:rFonts w:cs="Arial"/>
                <w:i/>
                <w:szCs w:val="22"/>
                <w:lang w:eastAsia="en-AU"/>
              </w:rPr>
              <w:t xml:space="preserve">entities to conduct </w:t>
            </w:r>
            <w:r w:rsidRPr="00640ADE">
              <w:rPr>
                <w:rFonts w:cs="Arial"/>
                <w:i/>
                <w:szCs w:val="22"/>
                <w:lang w:eastAsia="en-AU"/>
              </w:rPr>
              <w:t>clinical research</w:t>
            </w:r>
            <w:r w:rsidR="00C613C3">
              <w:rPr>
                <w:rFonts w:cs="Arial"/>
                <w:i/>
                <w:szCs w:val="22"/>
                <w:lang w:eastAsia="en-AU"/>
              </w:rPr>
              <w:t xml:space="preserve"> under the Guardianship and Administration Act 2000.</w:t>
            </w:r>
            <w:r w:rsidRPr="00640ADE">
              <w:rPr>
                <w:rFonts w:cs="Arial"/>
                <w:i/>
                <w:szCs w:val="22"/>
                <w:lang w:eastAsia="en-AU"/>
              </w:rPr>
              <w:t xml:space="preserve"> </w:t>
            </w:r>
          </w:p>
        </w:tc>
      </w:tr>
      <w:tr w:rsidR="006A7BB9" w:rsidRPr="00CB5D3E" w14:paraId="79A7DD69" w14:textId="77777777" w:rsidTr="00563DC3">
        <w:tblPrEx>
          <w:tblCellMar>
            <w:top w:w="57" w:type="dxa"/>
            <w:left w:w="119" w:type="dxa"/>
            <w:right w:w="119" w:type="dxa"/>
          </w:tblCellMar>
        </w:tblPrEx>
        <w:tc>
          <w:tcPr>
            <w:cnfStyle w:val="001000000000" w:firstRow="0" w:lastRow="0" w:firstColumn="1" w:lastColumn="0" w:oddVBand="0" w:evenVBand="0" w:oddHBand="0" w:evenHBand="0" w:firstRowFirstColumn="0" w:firstRowLastColumn="0" w:lastRowFirstColumn="0" w:lastRowLastColumn="0"/>
            <w:tcW w:w="401" w:type="pct"/>
            <w:shd w:val="clear" w:color="auto" w:fill="auto"/>
          </w:tcPr>
          <w:p w14:paraId="18A747DA" w14:textId="49EDFBC8" w:rsidR="006A7BB9" w:rsidRPr="00CB5D3E" w:rsidRDefault="009E42C5" w:rsidP="00C613C3">
            <w:pPr>
              <w:pStyle w:val="Tabletext"/>
              <w:spacing w:before="60" w:after="60" w:line="240" w:lineRule="auto"/>
              <w:rPr>
                <w:sz w:val="22"/>
                <w:szCs w:val="22"/>
              </w:rPr>
            </w:pPr>
            <w:r>
              <w:rPr>
                <w:sz w:val="22"/>
                <w:szCs w:val="22"/>
              </w:rPr>
              <w:t>1.5.1</w:t>
            </w:r>
          </w:p>
        </w:tc>
        <w:tc>
          <w:tcPr>
            <w:tcW w:w="2878" w:type="pct"/>
          </w:tcPr>
          <w:p w14:paraId="647C2B2B" w14:textId="77777777" w:rsidR="006A7BB9" w:rsidRPr="003B02E8" w:rsidRDefault="003B02E8"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b/>
                <w:i/>
                <w:sz w:val="22"/>
                <w:szCs w:val="22"/>
              </w:rPr>
            </w:pPr>
            <w:r w:rsidRPr="003B02E8">
              <w:rPr>
                <w:b/>
                <w:i/>
                <w:sz w:val="22"/>
                <w:szCs w:val="22"/>
              </w:rPr>
              <w:t>Clinical research case files</w:t>
            </w:r>
          </w:p>
          <w:p w14:paraId="0A90FA93" w14:textId="77777777" w:rsidR="00471398" w:rsidRDefault="003B02E8" w:rsidP="00C613C3">
            <w:pPr>
              <w:spacing w:before="60"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Case management</w:t>
            </w:r>
            <w:r w:rsidRPr="00496A4C">
              <w:rPr>
                <w:szCs w:val="22"/>
              </w:rPr>
              <w:t xml:space="preserve"> records relating to approvals to undertake clinical research.</w:t>
            </w:r>
            <w:r>
              <w:rPr>
                <w:szCs w:val="22"/>
              </w:rPr>
              <w:t xml:space="preserve"> </w:t>
            </w:r>
          </w:p>
          <w:p w14:paraId="76E986BB" w14:textId="77777777" w:rsidR="003B02E8" w:rsidRPr="00496A4C" w:rsidRDefault="003B02E8" w:rsidP="00C613C3">
            <w:pPr>
              <w:spacing w:before="60"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Includes approving clinical research which seeks to include people with impaired decision making capacity.</w:t>
            </w:r>
          </w:p>
          <w:p w14:paraId="77E2B003" w14:textId="77777777" w:rsidR="003B02E8" w:rsidRPr="00640ADE" w:rsidRDefault="003B02E8" w:rsidP="00C613C3">
            <w:pPr>
              <w:spacing w:before="60" w:line="240" w:lineRule="auto"/>
              <w:cnfStyle w:val="000000000000" w:firstRow="0" w:lastRow="0" w:firstColumn="0" w:lastColumn="0" w:oddVBand="0" w:evenVBand="0" w:oddHBand="0" w:evenHBand="0" w:firstRowFirstColumn="0" w:firstRowLastColumn="0" w:lastRowFirstColumn="0" w:lastRowLastColumn="0"/>
              <w:rPr>
                <w:rFonts w:cs="Arial"/>
                <w:szCs w:val="22"/>
                <w:lang w:eastAsia="en-AU"/>
              </w:rPr>
            </w:pPr>
            <w:r w:rsidRPr="00640ADE">
              <w:rPr>
                <w:szCs w:val="22"/>
              </w:rPr>
              <w:t>Records may include, but are not limited to:</w:t>
            </w:r>
          </w:p>
          <w:p w14:paraId="4E875B80" w14:textId="77777777" w:rsidR="003B02E8" w:rsidRPr="0049459B" w:rsidRDefault="003B02E8" w:rsidP="00214132">
            <w:pPr>
              <w:numPr>
                <w:ilvl w:val="0"/>
                <w:numId w:val="38"/>
              </w:numPr>
              <w:spacing w:before="60" w:line="240" w:lineRule="auto"/>
              <w:cnfStyle w:val="000000000000" w:firstRow="0" w:lastRow="0" w:firstColumn="0" w:lastColumn="0" w:oddVBand="0" w:evenVBand="0" w:oddHBand="0" w:evenHBand="0" w:firstRowFirstColumn="0" w:firstRowLastColumn="0" w:lastRowFirstColumn="0" w:lastRowLastColumn="0"/>
              <w:rPr>
                <w:rFonts w:cs="Arial"/>
                <w:szCs w:val="22"/>
                <w:lang w:eastAsia="en-AU"/>
              </w:rPr>
            </w:pPr>
            <w:r w:rsidRPr="0049459B">
              <w:rPr>
                <w:rFonts w:cs="Arial"/>
                <w:szCs w:val="22"/>
                <w:lang w:eastAsia="en-AU"/>
              </w:rPr>
              <w:t xml:space="preserve">signed final hearing decisions </w:t>
            </w:r>
          </w:p>
          <w:p w14:paraId="39CE1372" w14:textId="7A42766F" w:rsidR="003B02E8" w:rsidRPr="0049459B" w:rsidRDefault="008974D0" w:rsidP="00214132">
            <w:pPr>
              <w:numPr>
                <w:ilvl w:val="0"/>
                <w:numId w:val="38"/>
              </w:numPr>
              <w:spacing w:before="60" w:line="240" w:lineRule="auto"/>
              <w:cnfStyle w:val="000000000000" w:firstRow="0" w:lastRow="0" w:firstColumn="0" w:lastColumn="0" w:oddVBand="0" w:evenVBand="0" w:oddHBand="0" w:evenHBand="0" w:firstRowFirstColumn="0" w:firstRowLastColumn="0" w:lastRowFirstColumn="0" w:lastRowLastColumn="0"/>
              <w:rPr>
                <w:rFonts w:cs="Arial"/>
                <w:szCs w:val="22"/>
                <w:lang w:eastAsia="en-AU"/>
              </w:rPr>
            </w:pPr>
            <w:r>
              <w:rPr>
                <w:rFonts w:cs="Arial"/>
                <w:szCs w:val="22"/>
                <w:lang w:eastAsia="en-AU"/>
              </w:rPr>
              <w:t xml:space="preserve">signed </w:t>
            </w:r>
            <w:r w:rsidR="003B02E8" w:rsidRPr="0049459B">
              <w:rPr>
                <w:rFonts w:cs="Arial"/>
                <w:szCs w:val="22"/>
                <w:lang w:eastAsia="en-AU"/>
              </w:rPr>
              <w:t xml:space="preserve">interim </w:t>
            </w:r>
            <w:r w:rsidR="005F5F35">
              <w:rPr>
                <w:rFonts w:cs="Arial"/>
                <w:szCs w:val="22"/>
                <w:lang w:eastAsia="en-AU"/>
              </w:rPr>
              <w:t>o</w:t>
            </w:r>
            <w:r w:rsidR="003B02E8" w:rsidRPr="0049459B">
              <w:rPr>
                <w:rFonts w:cs="Arial"/>
                <w:szCs w:val="22"/>
                <w:lang w:eastAsia="en-AU"/>
              </w:rPr>
              <w:t>rders/</w:t>
            </w:r>
            <w:r w:rsidR="005F5F35">
              <w:rPr>
                <w:rFonts w:cs="Arial"/>
                <w:szCs w:val="22"/>
                <w:lang w:eastAsia="en-AU"/>
              </w:rPr>
              <w:t>i</w:t>
            </w:r>
            <w:r w:rsidR="003B02E8" w:rsidRPr="0049459B">
              <w:rPr>
                <w:rFonts w:cs="Arial"/>
                <w:szCs w:val="22"/>
                <w:lang w:eastAsia="en-AU"/>
              </w:rPr>
              <w:t xml:space="preserve">nterlocutory </w:t>
            </w:r>
            <w:r w:rsidR="005F5F35">
              <w:rPr>
                <w:rFonts w:cs="Arial"/>
                <w:szCs w:val="22"/>
                <w:lang w:eastAsia="en-AU"/>
              </w:rPr>
              <w:t>m</w:t>
            </w:r>
            <w:r w:rsidR="003B02E8" w:rsidRPr="0049459B">
              <w:rPr>
                <w:rFonts w:cs="Arial"/>
                <w:szCs w:val="22"/>
                <w:lang w:eastAsia="en-AU"/>
              </w:rPr>
              <w:t>atters and decisions</w:t>
            </w:r>
          </w:p>
          <w:p w14:paraId="31CCBD01" w14:textId="77777777" w:rsidR="003B02E8" w:rsidRPr="0049459B" w:rsidRDefault="003B02E8" w:rsidP="00214132">
            <w:pPr>
              <w:numPr>
                <w:ilvl w:val="0"/>
                <w:numId w:val="38"/>
              </w:numPr>
              <w:spacing w:before="60" w:line="240" w:lineRule="auto"/>
              <w:cnfStyle w:val="000000000000" w:firstRow="0" w:lastRow="0" w:firstColumn="0" w:lastColumn="0" w:oddVBand="0" w:evenVBand="0" w:oddHBand="0" w:evenHBand="0" w:firstRowFirstColumn="0" w:firstRowLastColumn="0" w:lastRowFirstColumn="0" w:lastRowLastColumn="0"/>
              <w:rPr>
                <w:rFonts w:cs="Arial"/>
                <w:szCs w:val="22"/>
                <w:lang w:eastAsia="en-AU"/>
              </w:rPr>
            </w:pPr>
            <w:r w:rsidRPr="0049459B">
              <w:rPr>
                <w:rFonts w:cs="Arial"/>
                <w:szCs w:val="22"/>
                <w:lang w:eastAsia="en-AU"/>
              </w:rPr>
              <w:t>complaints case files</w:t>
            </w:r>
          </w:p>
          <w:p w14:paraId="167B98DF" w14:textId="372B8DBA" w:rsidR="003B02E8" w:rsidRPr="00CB5D3E" w:rsidRDefault="003B02E8" w:rsidP="00214132">
            <w:pPr>
              <w:pStyle w:val="Tabletext"/>
              <w:numPr>
                <w:ilvl w:val="0"/>
                <w:numId w:val="38"/>
              </w:numPr>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3B02E8">
              <w:rPr>
                <w:rFonts w:cs="Arial"/>
                <w:sz w:val="22"/>
                <w:szCs w:val="22"/>
                <w:lang w:eastAsia="en-AU"/>
              </w:rPr>
              <w:t>transcripts (Includes master, transcribed and untranscribed).</w:t>
            </w:r>
          </w:p>
        </w:tc>
        <w:tc>
          <w:tcPr>
            <w:tcW w:w="703" w:type="pct"/>
          </w:tcPr>
          <w:p w14:paraId="1EA45DC2" w14:textId="77777777" w:rsidR="006A7BB9" w:rsidRPr="00CB5D3E" w:rsidRDefault="003B02E8" w:rsidP="00C613C3">
            <w:pPr>
              <w:pStyle w:val="Table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Temporary</w:t>
            </w:r>
          </w:p>
        </w:tc>
        <w:tc>
          <w:tcPr>
            <w:tcW w:w="1018" w:type="pct"/>
          </w:tcPr>
          <w:p w14:paraId="22AD9E8A" w14:textId="07041A61" w:rsidR="0077112B" w:rsidRPr="00CB5D3E" w:rsidRDefault="006A57AF">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0E5756">
              <w:rPr>
                <w:rFonts w:cs="Arial"/>
                <w:sz w:val="22"/>
                <w:szCs w:val="22"/>
              </w:rPr>
              <w:t>Retain for 1</w:t>
            </w:r>
            <w:r>
              <w:rPr>
                <w:rFonts w:cs="Arial"/>
                <w:sz w:val="22"/>
                <w:szCs w:val="22"/>
              </w:rPr>
              <w:t>5</w:t>
            </w:r>
            <w:r w:rsidRPr="000E5756">
              <w:rPr>
                <w:rFonts w:cs="Arial"/>
                <w:sz w:val="22"/>
                <w:szCs w:val="22"/>
              </w:rPr>
              <w:t xml:space="preserve"> years after </w:t>
            </w:r>
            <w:r>
              <w:rPr>
                <w:rFonts w:cs="Arial"/>
                <w:sz w:val="22"/>
                <w:szCs w:val="22"/>
              </w:rPr>
              <w:t xml:space="preserve">completion of trial </w:t>
            </w:r>
            <w:r w:rsidRPr="000E5756">
              <w:rPr>
                <w:rFonts w:cs="Arial"/>
                <w:sz w:val="22"/>
                <w:szCs w:val="22"/>
              </w:rPr>
              <w:t>and finalisation of all appeal processes</w:t>
            </w:r>
            <w:r>
              <w:rPr>
                <w:rFonts w:cs="Arial"/>
                <w:sz w:val="22"/>
                <w:szCs w:val="22"/>
              </w:rPr>
              <w:t>.</w:t>
            </w:r>
          </w:p>
        </w:tc>
      </w:tr>
      <w:tr w:rsidR="003B02E8" w:rsidRPr="00CB5D3E" w14:paraId="34C96EE8" w14:textId="77777777" w:rsidTr="00722A08">
        <w:tblPrEx>
          <w:tblCellMar>
            <w:top w:w="57" w:type="dxa"/>
            <w:left w:w="119" w:type="dxa"/>
            <w:right w:w="119" w:type="dxa"/>
          </w:tblCellMar>
        </w:tblPrEx>
        <w:trPr>
          <w:trHeight w:val="1823"/>
        </w:trPr>
        <w:tc>
          <w:tcPr>
            <w:cnfStyle w:val="001000000000" w:firstRow="0" w:lastRow="0" w:firstColumn="1" w:lastColumn="0" w:oddVBand="0" w:evenVBand="0" w:oddHBand="0" w:evenHBand="0" w:firstRowFirstColumn="0" w:firstRowLastColumn="0" w:lastRowFirstColumn="0" w:lastRowLastColumn="0"/>
            <w:tcW w:w="401" w:type="pct"/>
            <w:shd w:val="clear" w:color="auto" w:fill="auto"/>
          </w:tcPr>
          <w:p w14:paraId="37E5F7B6" w14:textId="5ED5ADB4" w:rsidR="003B02E8" w:rsidRPr="00CB5D3E" w:rsidRDefault="009E42C5" w:rsidP="00C613C3">
            <w:pPr>
              <w:pStyle w:val="Tabletext"/>
              <w:spacing w:before="60" w:after="60" w:line="240" w:lineRule="auto"/>
              <w:rPr>
                <w:sz w:val="22"/>
                <w:szCs w:val="22"/>
              </w:rPr>
            </w:pPr>
            <w:r>
              <w:rPr>
                <w:sz w:val="22"/>
                <w:szCs w:val="22"/>
              </w:rPr>
              <w:t>1.6</w:t>
            </w:r>
          </w:p>
        </w:tc>
        <w:tc>
          <w:tcPr>
            <w:tcW w:w="4599" w:type="pct"/>
            <w:gridSpan w:val="3"/>
          </w:tcPr>
          <w:p w14:paraId="0C5CD09F" w14:textId="77777777" w:rsidR="003B02E8" w:rsidRPr="00471398" w:rsidRDefault="003B02E8"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b/>
                <w:sz w:val="22"/>
                <w:szCs w:val="22"/>
              </w:rPr>
            </w:pPr>
            <w:r w:rsidRPr="00471398">
              <w:rPr>
                <w:b/>
                <w:sz w:val="22"/>
                <w:szCs w:val="22"/>
              </w:rPr>
              <w:t>GUARDIANSHIP</w:t>
            </w:r>
          </w:p>
          <w:p w14:paraId="1DB145A4" w14:textId="5FF3FF91" w:rsidR="003B02E8" w:rsidRPr="00722A08" w:rsidRDefault="003B02E8"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i/>
                <w:sz w:val="22"/>
                <w:szCs w:val="22"/>
              </w:rPr>
            </w:pPr>
            <w:r w:rsidRPr="000E5756">
              <w:rPr>
                <w:rFonts w:cs="Arial"/>
                <w:i/>
                <w:sz w:val="22"/>
                <w:szCs w:val="22"/>
              </w:rPr>
              <w:t>T</w:t>
            </w:r>
            <w:r>
              <w:rPr>
                <w:rFonts w:cs="Arial"/>
                <w:i/>
                <w:sz w:val="22"/>
                <w:szCs w:val="22"/>
              </w:rPr>
              <w:t>he process of</w:t>
            </w:r>
            <w:r w:rsidRPr="000E5756">
              <w:rPr>
                <w:rFonts w:cs="Arial"/>
                <w:i/>
                <w:sz w:val="22"/>
                <w:szCs w:val="22"/>
              </w:rPr>
              <w:t xml:space="preserve"> appoint</w:t>
            </w:r>
            <w:r>
              <w:rPr>
                <w:rFonts w:cs="Arial"/>
                <w:i/>
                <w:sz w:val="22"/>
                <w:szCs w:val="22"/>
              </w:rPr>
              <w:t>ing</w:t>
            </w:r>
            <w:r w:rsidRPr="000E5756">
              <w:rPr>
                <w:rFonts w:cs="Arial"/>
                <w:i/>
                <w:sz w:val="22"/>
                <w:szCs w:val="22"/>
              </w:rPr>
              <w:t xml:space="preserve"> guardians and/or administrators for adults with impaired decision making capacity to make certain personal, health care and/or financial decisions on their behalf. Appointments are made where it is necessary to ensure that the adult</w:t>
            </w:r>
            <w:r>
              <w:rPr>
                <w:rFonts w:cs="Arial"/>
                <w:i/>
                <w:sz w:val="22"/>
                <w:szCs w:val="22"/>
              </w:rPr>
              <w:t>’</w:t>
            </w:r>
            <w:r w:rsidRPr="000E5756">
              <w:rPr>
                <w:rFonts w:cs="Arial"/>
                <w:i/>
                <w:sz w:val="22"/>
                <w:szCs w:val="22"/>
              </w:rPr>
              <w:t>s rights a</w:t>
            </w:r>
            <w:r>
              <w:rPr>
                <w:rFonts w:cs="Arial"/>
                <w:i/>
                <w:sz w:val="22"/>
                <w:szCs w:val="22"/>
              </w:rPr>
              <w:t>nd interests are protected. Includes reviewing</w:t>
            </w:r>
            <w:r w:rsidRPr="000E5756">
              <w:rPr>
                <w:rFonts w:cs="Arial"/>
                <w:i/>
                <w:sz w:val="22"/>
                <w:szCs w:val="22"/>
              </w:rPr>
              <w:t xml:space="preserve"> appointments of guardians and administrators, revok</w:t>
            </w:r>
            <w:r>
              <w:rPr>
                <w:rFonts w:cs="Arial"/>
                <w:i/>
                <w:sz w:val="22"/>
                <w:szCs w:val="22"/>
              </w:rPr>
              <w:t>ing</w:t>
            </w:r>
            <w:r w:rsidRPr="000E5756">
              <w:rPr>
                <w:rFonts w:cs="Arial"/>
                <w:i/>
                <w:sz w:val="22"/>
                <w:szCs w:val="22"/>
              </w:rPr>
              <w:t xml:space="preserve"> e</w:t>
            </w:r>
            <w:r>
              <w:rPr>
                <w:rFonts w:cs="Arial"/>
                <w:i/>
                <w:sz w:val="22"/>
                <w:szCs w:val="22"/>
              </w:rPr>
              <w:t>nduring power of attorney, giving</w:t>
            </w:r>
            <w:r w:rsidRPr="000E5756">
              <w:rPr>
                <w:rFonts w:cs="Arial"/>
                <w:i/>
                <w:sz w:val="22"/>
                <w:szCs w:val="22"/>
              </w:rPr>
              <w:t xml:space="preserve"> directions, advice and recommendations to guard</w:t>
            </w:r>
            <w:r>
              <w:rPr>
                <w:rFonts w:cs="Arial"/>
                <w:i/>
                <w:sz w:val="22"/>
                <w:szCs w:val="22"/>
              </w:rPr>
              <w:t>ians and administrators, approving</w:t>
            </w:r>
            <w:r w:rsidRPr="000E5756">
              <w:rPr>
                <w:rFonts w:cs="Arial"/>
                <w:i/>
                <w:sz w:val="22"/>
                <w:szCs w:val="22"/>
              </w:rPr>
              <w:t xml:space="preserve"> special health care (sterilisation, termination of pregnancy, live tissue donation) for adults, sterilisation of a child, approv</w:t>
            </w:r>
            <w:r w:rsidR="008974D0">
              <w:rPr>
                <w:rFonts w:cs="Arial"/>
                <w:i/>
                <w:sz w:val="22"/>
                <w:szCs w:val="22"/>
              </w:rPr>
              <w:t>ing</w:t>
            </w:r>
            <w:r w:rsidRPr="000E5756">
              <w:rPr>
                <w:rFonts w:cs="Arial"/>
                <w:i/>
                <w:sz w:val="22"/>
                <w:szCs w:val="22"/>
              </w:rPr>
              <w:t xml:space="preserve"> containment and seclusion and appoint</w:t>
            </w:r>
            <w:r w:rsidR="008974D0">
              <w:rPr>
                <w:rFonts w:cs="Arial"/>
                <w:i/>
                <w:sz w:val="22"/>
                <w:szCs w:val="22"/>
              </w:rPr>
              <w:t xml:space="preserve">ing </w:t>
            </w:r>
            <w:r w:rsidRPr="000E5756">
              <w:rPr>
                <w:rFonts w:cs="Arial"/>
                <w:i/>
                <w:sz w:val="22"/>
                <w:szCs w:val="22"/>
              </w:rPr>
              <w:t>guardians for restrictive practices.</w:t>
            </w:r>
          </w:p>
        </w:tc>
      </w:tr>
      <w:tr w:rsidR="006A7BB9" w:rsidRPr="00CB5D3E" w14:paraId="40C434C0" w14:textId="77777777" w:rsidTr="00563DC3">
        <w:tblPrEx>
          <w:tblCellMar>
            <w:top w:w="57" w:type="dxa"/>
            <w:left w:w="119" w:type="dxa"/>
            <w:right w:w="119" w:type="dxa"/>
          </w:tblCellMar>
        </w:tblPrEx>
        <w:tc>
          <w:tcPr>
            <w:cnfStyle w:val="001000000000" w:firstRow="0" w:lastRow="0" w:firstColumn="1" w:lastColumn="0" w:oddVBand="0" w:evenVBand="0" w:oddHBand="0" w:evenHBand="0" w:firstRowFirstColumn="0" w:firstRowLastColumn="0" w:lastRowFirstColumn="0" w:lastRowLastColumn="0"/>
            <w:tcW w:w="401" w:type="pct"/>
            <w:shd w:val="clear" w:color="auto" w:fill="auto"/>
          </w:tcPr>
          <w:p w14:paraId="2EB09B51" w14:textId="59988493" w:rsidR="006A7BB9" w:rsidRPr="00CB5D3E" w:rsidRDefault="009E42C5" w:rsidP="00C613C3">
            <w:pPr>
              <w:pStyle w:val="Tabletext"/>
              <w:spacing w:before="60" w:after="60" w:line="240" w:lineRule="auto"/>
              <w:rPr>
                <w:sz w:val="22"/>
                <w:szCs w:val="22"/>
              </w:rPr>
            </w:pPr>
            <w:r>
              <w:rPr>
                <w:sz w:val="22"/>
                <w:szCs w:val="22"/>
              </w:rPr>
              <w:t>1.6.1</w:t>
            </w:r>
          </w:p>
        </w:tc>
        <w:tc>
          <w:tcPr>
            <w:tcW w:w="2878" w:type="pct"/>
          </w:tcPr>
          <w:p w14:paraId="48432E85" w14:textId="77777777" w:rsidR="006A7BB9" w:rsidRPr="003B02E8" w:rsidRDefault="003B02E8"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b/>
                <w:i/>
                <w:sz w:val="22"/>
                <w:szCs w:val="22"/>
              </w:rPr>
            </w:pPr>
            <w:r w:rsidRPr="003B02E8">
              <w:rPr>
                <w:b/>
                <w:i/>
                <w:sz w:val="22"/>
                <w:szCs w:val="22"/>
              </w:rPr>
              <w:t>Guardianship case files</w:t>
            </w:r>
          </w:p>
          <w:p w14:paraId="545C71B7" w14:textId="5AFEB090" w:rsidR="003B02E8" w:rsidRDefault="003B02E8" w:rsidP="00C613C3">
            <w:pPr>
              <w:spacing w:before="60"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Case management records relating to hearings to appoint, review or revoke individuals as guardians, administrators or power of attorney for people with impaired capacity.</w:t>
            </w:r>
          </w:p>
          <w:p w14:paraId="79836BAB" w14:textId="77777777" w:rsidR="003B02E8" w:rsidRPr="000E5756" w:rsidRDefault="003B02E8" w:rsidP="00C613C3">
            <w:pPr>
              <w:spacing w:before="60" w:line="240" w:lineRule="auto"/>
              <w:cnfStyle w:val="000000000000" w:firstRow="0" w:lastRow="0" w:firstColumn="0" w:lastColumn="0" w:oddVBand="0" w:evenVBand="0" w:oddHBand="0" w:evenHBand="0" w:firstRowFirstColumn="0" w:firstRowLastColumn="0" w:lastRowFirstColumn="0" w:lastRowLastColumn="0"/>
              <w:rPr>
                <w:rFonts w:cs="Arial"/>
                <w:szCs w:val="22"/>
                <w:lang w:eastAsia="en-AU"/>
              </w:rPr>
            </w:pPr>
            <w:r w:rsidRPr="000E5756">
              <w:rPr>
                <w:szCs w:val="22"/>
              </w:rPr>
              <w:lastRenderedPageBreak/>
              <w:t>Records may include, but are not limited to:</w:t>
            </w:r>
          </w:p>
          <w:p w14:paraId="41C6786E" w14:textId="77777777" w:rsidR="003B02E8" w:rsidRPr="000E5756" w:rsidRDefault="003B02E8" w:rsidP="00214132">
            <w:pPr>
              <w:numPr>
                <w:ilvl w:val="0"/>
                <w:numId w:val="37"/>
              </w:numPr>
              <w:spacing w:before="60" w:line="240" w:lineRule="auto"/>
              <w:cnfStyle w:val="000000000000" w:firstRow="0" w:lastRow="0" w:firstColumn="0" w:lastColumn="0" w:oddVBand="0" w:evenVBand="0" w:oddHBand="0" w:evenHBand="0" w:firstRowFirstColumn="0" w:firstRowLastColumn="0" w:lastRowFirstColumn="0" w:lastRowLastColumn="0"/>
              <w:rPr>
                <w:rFonts w:cs="Arial"/>
                <w:szCs w:val="22"/>
                <w:lang w:eastAsia="en-AU"/>
              </w:rPr>
            </w:pPr>
            <w:r w:rsidRPr="000E5756">
              <w:rPr>
                <w:rFonts w:cs="Arial"/>
                <w:szCs w:val="22"/>
                <w:lang w:eastAsia="en-AU"/>
              </w:rPr>
              <w:t xml:space="preserve">signed </w:t>
            </w:r>
            <w:r>
              <w:rPr>
                <w:rFonts w:cs="Arial"/>
                <w:szCs w:val="22"/>
                <w:lang w:eastAsia="en-AU"/>
              </w:rPr>
              <w:t>final complaint</w:t>
            </w:r>
            <w:r w:rsidRPr="000E5756">
              <w:rPr>
                <w:rFonts w:cs="Arial"/>
                <w:szCs w:val="22"/>
                <w:lang w:eastAsia="en-AU"/>
              </w:rPr>
              <w:t xml:space="preserve"> </w:t>
            </w:r>
            <w:r>
              <w:rPr>
                <w:rFonts w:cs="Arial"/>
                <w:szCs w:val="22"/>
                <w:lang w:eastAsia="en-AU"/>
              </w:rPr>
              <w:t xml:space="preserve">hearing </w:t>
            </w:r>
            <w:r w:rsidRPr="000E5756">
              <w:rPr>
                <w:rFonts w:cs="Arial"/>
                <w:szCs w:val="22"/>
                <w:lang w:eastAsia="en-AU"/>
              </w:rPr>
              <w:t xml:space="preserve">decisions </w:t>
            </w:r>
          </w:p>
          <w:p w14:paraId="7606F0CB" w14:textId="248D68D9" w:rsidR="003B02E8" w:rsidRDefault="003B02E8" w:rsidP="00214132">
            <w:pPr>
              <w:numPr>
                <w:ilvl w:val="0"/>
                <w:numId w:val="37"/>
              </w:numPr>
              <w:spacing w:before="60" w:line="240" w:lineRule="auto"/>
              <w:cnfStyle w:val="000000000000" w:firstRow="0" w:lastRow="0" w:firstColumn="0" w:lastColumn="0" w:oddVBand="0" w:evenVBand="0" w:oddHBand="0" w:evenHBand="0" w:firstRowFirstColumn="0" w:firstRowLastColumn="0" w:lastRowFirstColumn="0" w:lastRowLastColumn="0"/>
              <w:rPr>
                <w:rFonts w:cs="Arial"/>
                <w:szCs w:val="22"/>
                <w:lang w:eastAsia="en-AU"/>
              </w:rPr>
            </w:pPr>
            <w:r w:rsidRPr="00B36EA1">
              <w:rPr>
                <w:rFonts w:cs="Arial"/>
                <w:szCs w:val="22"/>
                <w:lang w:eastAsia="en-AU"/>
              </w:rPr>
              <w:t xml:space="preserve">signed </w:t>
            </w:r>
            <w:r w:rsidR="005F5F35">
              <w:rPr>
                <w:rFonts w:cs="Arial"/>
                <w:szCs w:val="22"/>
                <w:lang w:eastAsia="en-AU"/>
              </w:rPr>
              <w:t>i</w:t>
            </w:r>
            <w:r w:rsidRPr="00B36EA1">
              <w:rPr>
                <w:rFonts w:cs="Arial"/>
                <w:szCs w:val="22"/>
                <w:lang w:eastAsia="en-AU"/>
              </w:rPr>
              <w:t xml:space="preserve">nterim </w:t>
            </w:r>
            <w:r w:rsidR="005F5F35">
              <w:rPr>
                <w:rFonts w:cs="Arial"/>
                <w:szCs w:val="22"/>
                <w:lang w:eastAsia="en-AU"/>
              </w:rPr>
              <w:t>o</w:t>
            </w:r>
            <w:r w:rsidRPr="00B36EA1">
              <w:rPr>
                <w:rFonts w:cs="Arial"/>
                <w:szCs w:val="22"/>
                <w:lang w:eastAsia="en-AU"/>
              </w:rPr>
              <w:t>rders/</w:t>
            </w:r>
            <w:r w:rsidR="005F5F35">
              <w:rPr>
                <w:rFonts w:cs="Arial"/>
                <w:szCs w:val="22"/>
                <w:lang w:eastAsia="en-AU"/>
              </w:rPr>
              <w:t>i</w:t>
            </w:r>
            <w:r w:rsidRPr="00B36EA1">
              <w:rPr>
                <w:rFonts w:cs="Arial"/>
                <w:szCs w:val="22"/>
                <w:lang w:eastAsia="en-AU"/>
              </w:rPr>
              <w:t xml:space="preserve">nterlocutory </w:t>
            </w:r>
            <w:r w:rsidR="005F5F35">
              <w:rPr>
                <w:rFonts w:cs="Arial"/>
                <w:szCs w:val="22"/>
                <w:lang w:eastAsia="en-AU"/>
              </w:rPr>
              <w:t>m</w:t>
            </w:r>
            <w:r w:rsidRPr="00B36EA1">
              <w:rPr>
                <w:rFonts w:cs="Arial"/>
                <w:szCs w:val="22"/>
                <w:lang w:eastAsia="en-AU"/>
              </w:rPr>
              <w:t>atters or decisions</w:t>
            </w:r>
            <w:r>
              <w:rPr>
                <w:rFonts w:cs="Arial"/>
                <w:szCs w:val="22"/>
                <w:lang w:eastAsia="en-AU"/>
              </w:rPr>
              <w:t xml:space="preserve"> </w:t>
            </w:r>
          </w:p>
          <w:p w14:paraId="03509DFA" w14:textId="77777777" w:rsidR="003B02E8" w:rsidRDefault="003B02E8" w:rsidP="00214132">
            <w:pPr>
              <w:numPr>
                <w:ilvl w:val="0"/>
                <w:numId w:val="37"/>
              </w:numPr>
              <w:spacing w:before="60" w:line="240" w:lineRule="auto"/>
              <w:cnfStyle w:val="000000000000" w:firstRow="0" w:lastRow="0" w:firstColumn="0" w:lastColumn="0" w:oddVBand="0" w:evenVBand="0" w:oddHBand="0" w:evenHBand="0" w:firstRowFirstColumn="0" w:firstRowLastColumn="0" w:lastRowFirstColumn="0" w:lastRowLastColumn="0"/>
              <w:rPr>
                <w:rFonts w:cs="Arial"/>
                <w:szCs w:val="22"/>
                <w:lang w:eastAsia="en-AU"/>
              </w:rPr>
            </w:pPr>
            <w:r>
              <w:rPr>
                <w:rFonts w:cs="Arial"/>
                <w:szCs w:val="22"/>
                <w:lang w:eastAsia="en-AU"/>
              </w:rPr>
              <w:t>t</w:t>
            </w:r>
            <w:r w:rsidRPr="00B36EA1">
              <w:rPr>
                <w:rFonts w:cs="Arial"/>
                <w:szCs w:val="22"/>
                <w:lang w:eastAsia="en-AU"/>
              </w:rPr>
              <w:t>ribunal case files relating to complaints</w:t>
            </w:r>
            <w:r>
              <w:rPr>
                <w:rFonts w:cs="Arial"/>
                <w:szCs w:val="22"/>
                <w:lang w:eastAsia="en-AU"/>
              </w:rPr>
              <w:t xml:space="preserve"> </w:t>
            </w:r>
          </w:p>
          <w:p w14:paraId="46C9279B" w14:textId="1CE8FCD4" w:rsidR="003B02E8" w:rsidRPr="00CB5D3E" w:rsidRDefault="003B02E8" w:rsidP="00214132">
            <w:pPr>
              <w:pStyle w:val="Tabletext"/>
              <w:numPr>
                <w:ilvl w:val="0"/>
                <w:numId w:val="37"/>
              </w:numPr>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3B02E8">
              <w:rPr>
                <w:rFonts w:cs="Arial"/>
                <w:sz w:val="22"/>
                <w:szCs w:val="22"/>
                <w:lang w:eastAsia="en-AU"/>
              </w:rPr>
              <w:t>transcripts (</w:t>
            </w:r>
            <w:r w:rsidR="008974D0">
              <w:rPr>
                <w:rFonts w:cs="Arial"/>
                <w:sz w:val="22"/>
                <w:szCs w:val="22"/>
                <w:lang w:eastAsia="en-AU"/>
              </w:rPr>
              <w:t>includes m</w:t>
            </w:r>
            <w:r w:rsidRPr="003B02E8">
              <w:rPr>
                <w:rFonts w:cs="Arial"/>
                <w:sz w:val="22"/>
                <w:szCs w:val="22"/>
                <w:lang w:eastAsia="en-AU"/>
              </w:rPr>
              <w:t>aster, transcribed and untranscribed)</w:t>
            </w:r>
            <w:r>
              <w:rPr>
                <w:rFonts w:cs="Arial"/>
                <w:sz w:val="22"/>
                <w:szCs w:val="22"/>
                <w:lang w:eastAsia="en-AU"/>
              </w:rPr>
              <w:t>.</w:t>
            </w:r>
          </w:p>
        </w:tc>
        <w:tc>
          <w:tcPr>
            <w:tcW w:w="703" w:type="pct"/>
          </w:tcPr>
          <w:p w14:paraId="2E015076" w14:textId="77777777" w:rsidR="006A7BB9" w:rsidRPr="00CB5D3E" w:rsidRDefault="003B02E8" w:rsidP="00C613C3">
            <w:pPr>
              <w:pStyle w:val="Table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lastRenderedPageBreak/>
              <w:t>Permanent</w:t>
            </w:r>
          </w:p>
        </w:tc>
        <w:tc>
          <w:tcPr>
            <w:tcW w:w="1018" w:type="pct"/>
          </w:tcPr>
          <w:p w14:paraId="03787F9C" w14:textId="77777777" w:rsidR="006A7BB9" w:rsidRPr="00CB5D3E" w:rsidRDefault="003B02E8"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Retain permanently.</w:t>
            </w:r>
          </w:p>
        </w:tc>
      </w:tr>
      <w:tr w:rsidR="005022EC" w:rsidRPr="00CB5D3E" w14:paraId="265AB2EA" w14:textId="77777777" w:rsidTr="00D32AC7">
        <w:tblPrEx>
          <w:tblCellMar>
            <w:top w:w="57" w:type="dxa"/>
            <w:left w:w="119" w:type="dxa"/>
            <w:right w:w="119" w:type="dxa"/>
          </w:tblCellMar>
        </w:tblPrEx>
        <w:trPr>
          <w:trHeight w:val="378"/>
        </w:trPr>
        <w:tc>
          <w:tcPr>
            <w:cnfStyle w:val="001000000000" w:firstRow="0" w:lastRow="0" w:firstColumn="1" w:lastColumn="0" w:oddVBand="0" w:evenVBand="0" w:oddHBand="0" w:evenHBand="0" w:firstRowFirstColumn="0" w:firstRowLastColumn="0" w:lastRowFirstColumn="0" w:lastRowLastColumn="0"/>
            <w:tcW w:w="401" w:type="pct"/>
            <w:shd w:val="clear" w:color="auto" w:fill="auto"/>
          </w:tcPr>
          <w:p w14:paraId="4228829D" w14:textId="4B22CF2C" w:rsidR="005022EC" w:rsidRPr="00CB5D3E" w:rsidRDefault="009E42C5" w:rsidP="00C613C3">
            <w:pPr>
              <w:pStyle w:val="Tabletext"/>
              <w:spacing w:before="60" w:after="60" w:line="240" w:lineRule="auto"/>
              <w:rPr>
                <w:sz w:val="22"/>
                <w:szCs w:val="22"/>
              </w:rPr>
            </w:pPr>
            <w:r>
              <w:rPr>
                <w:sz w:val="22"/>
                <w:szCs w:val="22"/>
              </w:rPr>
              <w:t>1.7</w:t>
            </w:r>
          </w:p>
        </w:tc>
        <w:tc>
          <w:tcPr>
            <w:tcW w:w="4599" w:type="pct"/>
            <w:gridSpan w:val="3"/>
          </w:tcPr>
          <w:p w14:paraId="2727AB36" w14:textId="77777777" w:rsidR="005022EC" w:rsidRPr="00471398" w:rsidRDefault="005022EC"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b/>
                <w:sz w:val="22"/>
                <w:szCs w:val="22"/>
              </w:rPr>
            </w:pPr>
            <w:bookmarkStart w:id="29" w:name="MinorCivilDisputes"/>
            <w:r w:rsidRPr="00471398">
              <w:rPr>
                <w:b/>
                <w:sz w:val="22"/>
                <w:szCs w:val="22"/>
              </w:rPr>
              <w:t>MINOR CIVIL DISPUTES</w:t>
            </w:r>
          </w:p>
          <w:bookmarkEnd w:id="29"/>
          <w:p w14:paraId="37DFF8DB" w14:textId="6A58E344" w:rsidR="005022EC" w:rsidRPr="005022EC" w:rsidRDefault="005022EC"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7E0566">
              <w:rPr>
                <w:i/>
                <w:sz w:val="22"/>
                <w:szCs w:val="22"/>
              </w:rPr>
              <w:t>The process of hearing disputes between individuals, or an individual and a trader, business or company</w:t>
            </w:r>
            <w:r w:rsidR="003B2BE5">
              <w:rPr>
                <w:i/>
                <w:sz w:val="22"/>
                <w:szCs w:val="22"/>
              </w:rPr>
              <w:t>.</w:t>
            </w:r>
            <w:r>
              <w:rPr>
                <w:i/>
                <w:sz w:val="22"/>
                <w:szCs w:val="22"/>
              </w:rPr>
              <w:t xml:space="preserve"> Previously called the Small Claims Tribunal.</w:t>
            </w:r>
          </w:p>
        </w:tc>
      </w:tr>
      <w:tr w:rsidR="005022EC" w:rsidRPr="00CB5D3E" w14:paraId="553D773C" w14:textId="77777777" w:rsidTr="00D32AC7">
        <w:tblPrEx>
          <w:tblCellMar>
            <w:top w:w="57" w:type="dxa"/>
            <w:left w:w="119" w:type="dxa"/>
            <w:right w:w="119" w:type="dxa"/>
          </w:tblCellMar>
        </w:tblPrEx>
        <w:tc>
          <w:tcPr>
            <w:cnfStyle w:val="001000000000" w:firstRow="0" w:lastRow="0" w:firstColumn="1" w:lastColumn="0" w:oddVBand="0" w:evenVBand="0" w:oddHBand="0" w:evenHBand="0" w:firstRowFirstColumn="0" w:firstRowLastColumn="0" w:lastRowFirstColumn="0" w:lastRowLastColumn="0"/>
            <w:tcW w:w="401" w:type="pct"/>
            <w:shd w:val="clear" w:color="auto" w:fill="auto"/>
          </w:tcPr>
          <w:p w14:paraId="008E8E2F" w14:textId="1172A7AD" w:rsidR="005022EC" w:rsidRPr="00CB5D3E" w:rsidRDefault="009E42C5" w:rsidP="00C613C3">
            <w:pPr>
              <w:pStyle w:val="Tabletext"/>
              <w:spacing w:before="60" w:after="60" w:line="240" w:lineRule="auto"/>
              <w:rPr>
                <w:sz w:val="22"/>
                <w:szCs w:val="22"/>
              </w:rPr>
            </w:pPr>
            <w:r>
              <w:rPr>
                <w:sz w:val="22"/>
                <w:szCs w:val="22"/>
              </w:rPr>
              <w:t>1.7.1</w:t>
            </w:r>
          </w:p>
        </w:tc>
        <w:tc>
          <w:tcPr>
            <w:tcW w:w="2878" w:type="pct"/>
          </w:tcPr>
          <w:p w14:paraId="77F14603" w14:textId="77777777" w:rsidR="005022EC" w:rsidRDefault="005022EC"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b/>
                <w:i/>
                <w:sz w:val="22"/>
                <w:szCs w:val="22"/>
              </w:rPr>
            </w:pPr>
            <w:r>
              <w:rPr>
                <w:b/>
                <w:i/>
                <w:sz w:val="22"/>
                <w:szCs w:val="22"/>
              </w:rPr>
              <w:t>Minor civil disputes case files</w:t>
            </w:r>
          </w:p>
          <w:p w14:paraId="7E17CFFB" w14:textId="77777777" w:rsidR="005022EC" w:rsidRDefault="005022EC"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Case management records relating to hearings of:</w:t>
            </w:r>
          </w:p>
          <w:p w14:paraId="7292D554" w14:textId="77777777" w:rsidR="005022EC" w:rsidRDefault="005022EC" w:rsidP="00C613C3">
            <w:pPr>
              <w:pStyle w:val="Tabletext"/>
              <w:numPr>
                <w:ilvl w:val="0"/>
                <w:numId w:val="30"/>
              </w:numPr>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property damage disputes, including damage to a house, car</w:t>
            </w:r>
          </w:p>
          <w:p w14:paraId="060EEF2E" w14:textId="77777777" w:rsidR="005022EC" w:rsidRDefault="005022EC" w:rsidP="00C613C3">
            <w:pPr>
              <w:pStyle w:val="Tabletext"/>
              <w:numPr>
                <w:ilvl w:val="0"/>
                <w:numId w:val="30"/>
              </w:numPr>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debt disputes</w:t>
            </w:r>
          </w:p>
          <w:p w14:paraId="05FA6E56" w14:textId="77777777" w:rsidR="005022EC" w:rsidRDefault="005022EC" w:rsidP="00C613C3">
            <w:pPr>
              <w:pStyle w:val="Tabletext"/>
              <w:numPr>
                <w:ilvl w:val="0"/>
                <w:numId w:val="30"/>
              </w:numPr>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consumer and trade disputes</w:t>
            </w:r>
          </w:p>
          <w:p w14:paraId="73679CAD" w14:textId="648014DB" w:rsidR="005022EC" w:rsidRDefault="00D32AC7" w:rsidP="00C613C3">
            <w:pPr>
              <w:pStyle w:val="Tabletext"/>
              <w:numPr>
                <w:ilvl w:val="0"/>
                <w:numId w:val="30"/>
              </w:numPr>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residential tenancy disputes</w:t>
            </w:r>
            <w:r w:rsidR="005F5F35">
              <w:rPr>
                <w:sz w:val="22"/>
                <w:szCs w:val="22"/>
              </w:rPr>
              <w:t>.</w:t>
            </w:r>
          </w:p>
          <w:p w14:paraId="68F284F8" w14:textId="77777777" w:rsidR="005022EC" w:rsidRDefault="005022EC"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Records may include, but are not limited to:</w:t>
            </w:r>
          </w:p>
          <w:p w14:paraId="3AE3FC21" w14:textId="77777777" w:rsidR="005022EC" w:rsidRDefault="005022EC" w:rsidP="00214132">
            <w:pPr>
              <w:numPr>
                <w:ilvl w:val="0"/>
                <w:numId w:val="39"/>
              </w:numPr>
              <w:spacing w:before="60" w:line="240" w:lineRule="auto"/>
              <w:cnfStyle w:val="000000000000" w:firstRow="0" w:lastRow="0" w:firstColumn="0" w:lastColumn="0" w:oddVBand="0" w:evenVBand="0" w:oddHBand="0" w:evenHBand="0" w:firstRowFirstColumn="0" w:firstRowLastColumn="0" w:lastRowFirstColumn="0" w:lastRowLastColumn="0"/>
              <w:rPr>
                <w:rFonts w:cs="Arial"/>
                <w:szCs w:val="22"/>
                <w:lang w:eastAsia="en-AU"/>
              </w:rPr>
            </w:pPr>
            <w:r w:rsidRPr="0049459B">
              <w:rPr>
                <w:rFonts w:cs="Arial"/>
                <w:szCs w:val="22"/>
                <w:lang w:eastAsia="en-AU"/>
              </w:rPr>
              <w:t xml:space="preserve">signed </w:t>
            </w:r>
            <w:r>
              <w:rPr>
                <w:rFonts w:cs="Arial"/>
                <w:szCs w:val="22"/>
                <w:lang w:eastAsia="en-AU"/>
              </w:rPr>
              <w:t>final hearing</w:t>
            </w:r>
            <w:r w:rsidRPr="0049459B">
              <w:rPr>
                <w:rFonts w:cs="Arial"/>
                <w:szCs w:val="22"/>
                <w:lang w:eastAsia="en-AU"/>
              </w:rPr>
              <w:t xml:space="preserve"> decisions </w:t>
            </w:r>
          </w:p>
          <w:p w14:paraId="574C5641" w14:textId="0724FB86" w:rsidR="005022EC" w:rsidRPr="0049459B" w:rsidRDefault="008974D0" w:rsidP="00214132">
            <w:pPr>
              <w:numPr>
                <w:ilvl w:val="0"/>
                <w:numId w:val="39"/>
              </w:numPr>
              <w:spacing w:before="60" w:line="240" w:lineRule="auto"/>
              <w:cnfStyle w:val="000000000000" w:firstRow="0" w:lastRow="0" w:firstColumn="0" w:lastColumn="0" w:oddVBand="0" w:evenVBand="0" w:oddHBand="0" w:evenHBand="0" w:firstRowFirstColumn="0" w:firstRowLastColumn="0" w:lastRowFirstColumn="0" w:lastRowLastColumn="0"/>
              <w:rPr>
                <w:rFonts w:cs="Arial"/>
                <w:szCs w:val="22"/>
                <w:lang w:eastAsia="en-AU"/>
              </w:rPr>
            </w:pPr>
            <w:r>
              <w:rPr>
                <w:rFonts w:cs="Arial"/>
                <w:szCs w:val="22"/>
                <w:lang w:eastAsia="en-AU"/>
              </w:rPr>
              <w:t xml:space="preserve">signed </w:t>
            </w:r>
            <w:r w:rsidR="005022EC">
              <w:rPr>
                <w:rFonts w:cs="Arial"/>
                <w:szCs w:val="22"/>
                <w:lang w:eastAsia="en-AU"/>
              </w:rPr>
              <w:t>i</w:t>
            </w:r>
            <w:r w:rsidR="005022EC" w:rsidRPr="0049459B">
              <w:rPr>
                <w:rFonts w:cs="Arial"/>
                <w:szCs w:val="22"/>
                <w:lang w:eastAsia="en-AU"/>
              </w:rPr>
              <w:t xml:space="preserve">nterim </w:t>
            </w:r>
            <w:r w:rsidR="005F5F35">
              <w:rPr>
                <w:rFonts w:cs="Arial"/>
                <w:szCs w:val="22"/>
                <w:lang w:eastAsia="en-AU"/>
              </w:rPr>
              <w:t>o</w:t>
            </w:r>
            <w:r w:rsidR="005022EC" w:rsidRPr="0049459B">
              <w:rPr>
                <w:rFonts w:cs="Arial"/>
                <w:szCs w:val="22"/>
                <w:lang w:eastAsia="en-AU"/>
              </w:rPr>
              <w:t>rders/</w:t>
            </w:r>
            <w:r w:rsidR="005F5F35">
              <w:rPr>
                <w:rFonts w:cs="Arial"/>
                <w:szCs w:val="22"/>
                <w:lang w:eastAsia="en-AU"/>
              </w:rPr>
              <w:t>i</w:t>
            </w:r>
            <w:r w:rsidR="005022EC" w:rsidRPr="0049459B">
              <w:rPr>
                <w:rFonts w:cs="Arial"/>
                <w:szCs w:val="22"/>
                <w:lang w:eastAsia="en-AU"/>
              </w:rPr>
              <w:t xml:space="preserve">nterlocutory </w:t>
            </w:r>
            <w:r w:rsidR="005F5F35">
              <w:rPr>
                <w:rFonts w:cs="Arial"/>
                <w:szCs w:val="22"/>
                <w:lang w:eastAsia="en-AU"/>
              </w:rPr>
              <w:t>m</w:t>
            </w:r>
            <w:r w:rsidR="005022EC" w:rsidRPr="0049459B">
              <w:rPr>
                <w:rFonts w:cs="Arial"/>
                <w:szCs w:val="22"/>
                <w:lang w:eastAsia="en-AU"/>
              </w:rPr>
              <w:t>atters</w:t>
            </w:r>
            <w:r w:rsidR="005022EC">
              <w:rPr>
                <w:rFonts w:cs="Arial"/>
                <w:szCs w:val="22"/>
                <w:lang w:eastAsia="en-AU"/>
              </w:rPr>
              <w:t xml:space="preserve"> and decisions</w:t>
            </w:r>
          </w:p>
          <w:p w14:paraId="2695D468" w14:textId="77777777" w:rsidR="005022EC" w:rsidRDefault="005022EC" w:rsidP="00214132">
            <w:pPr>
              <w:numPr>
                <w:ilvl w:val="0"/>
                <w:numId w:val="39"/>
              </w:numPr>
              <w:spacing w:before="60" w:line="240" w:lineRule="auto"/>
              <w:cnfStyle w:val="000000000000" w:firstRow="0" w:lastRow="0" w:firstColumn="0" w:lastColumn="0" w:oddVBand="0" w:evenVBand="0" w:oddHBand="0" w:evenHBand="0" w:firstRowFirstColumn="0" w:firstRowLastColumn="0" w:lastRowFirstColumn="0" w:lastRowLastColumn="0"/>
              <w:rPr>
                <w:rFonts w:cs="Arial"/>
                <w:szCs w:val="22"/>
                <w:lang w:eastAsia="en-AU"/>
              </w:rPr>
            </w:pPr>
            <w:r>
              <w:rPr>
                <w:rFonts w:cs="Arial"/>
                <w:szCs w:val="22"/>
                <w:lang w:eastAsia="en-AU"/>
              </w:rPr>
              <w:t>complaints case files</w:t>
            </w:r>
          </w:p>
          <w:p w14:paraId="5D02569F" w14:textId="313805D7" w:rsidR="005022EC" w:rsidRPr="005022EC" w:rsidRDefault="005022EC" w:rsidP="00214132">
            <w:pPr>
              <w:pStyle w:val="Tabletext"/>
              <w:numPr>
                <w:ilvl w:val="0"/>
                <w:numId w:val="39"/>
              </w:numPr>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3B02E8">
              <w:rPr>
                <w:rFonts w:cs="Arial"/>
                <w:sz w:val="22"/>
                <w:szCs w:val="22"/>
                <w:lang w:eastAsia="en-AU"/>
              </w:rPr>
              <w:t>transcripts (</w:t>
            </w:r>
            <w:r w:rsidR="005F5F35">
              <w:rPr>
                <w:rFonts w:cs="Arial"/>
                <w:sz w:val="22"/>
                <w:szCs w:val="22"/>
                <w:lang w:eastAsia="en-AU"/>
              </w:rPr>
              <w:t>i</w:t>
            </w:r>
            <w:r w:rsidRPr="003B02E8">
              <w:rPr>
                <w:rFonts w:cs="Arial"/>
                <w:sz w:val="22"/>
                <w:szCs w:val="22"/>
                <w:lang w:eastAsia="en-AU"/>
              </w:rPr>
              <w:t>ncludes master, transcribed and untranscribed).</w:t>
            </w:r>
          </w:p>
        </w:tc>
        <w:tc>
          <w:tcPr>
            <w:tcW w:w="703" w:type="pct"/>
          </w:tcPr>
          <w:p w14:paraId="3DC1FE7C" w14:textId="77777777" w:rsidR="005022EC" w:rsidRPr="00CB5D3E" w:rsidRDefault="005022EC" w:rsidP="00C613C3">
            <w:pPr>
              <w:pStyle w:val="Table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Temporary</w:t>
            </w:r>
          </w:p>
        </w:tc>
        <w:tc>
          <w:tcPr>
            <w:tcW w:w="1018" w:type="pct"/>
          </w:tcPr>
          <w:p w14:paraId="564CA407" w14:textId="24D67186" w:rsidR="005022EC" w:rsidRPr="00CB5D3E" w:rsidRDefault="005022EC"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EE50E0">
              <w:rPr>
                <w:rFonts w:cs="Arial"/>
                <w:sz w:val="22"/>
                <w:szCs w:val="22"/>
              </w:rPr>
              <w:t xml:space="preserve">Retain for 12 years after </w:t>
            </w:r>
            <w:r w:rsidR="000E3125">
              <w:rPr>
                <w:rFonts w:cs="Arial"/>
                <w:sz w:val="22"/>
                <w:szCs w:val="22"/>
              </w:rPr>
              <w:t>business</w:t>
            </w:r>
            <w:r w:rsidRPr="00EE50E0">
              <w:rPr>
                <w:rFonts w:cs="Arial"/>
                <w:sz w:val="22"/>
                <w:szCs w:val="22"/>
              </w:rPr>
              <w:t xml:space="preserve"> action</w:t>
            </w:r>
            <w:r w:rsidR="000E3125">
              <w:rPr>
                <w:rFonts w:cs="Arial"/>
                <w:sz w:val="22"/>
                <w:szCs w:val="22"/>
              </w:rPr>
              <w:t xml:space="preserve"> completed</w:t>
            </w:r>
            <w:r w:rsidRPr="00EE50E0">
              <w:rPr>
                <w:rFonts w:cs="Arial"/>
                <w:sz w:val="22"/>
                <w:szCs w:val="22"/>
              </w:rPr>
              <w:t xml:space="preserve"> and finalisation of all appeal processes</w:t>
            </w:r>
            <w:r>
              <w:rPr>
                <w:rFonts w:cs="Arial"/>
                <w:sz w:val="22"/>
                <w:szCs w:val="22"/>
              </w:rPr>
              <w:t>.</w:t>
            </w:r>
          </w:p>
        </w:tc>
      </w:tr>
      <w:tr w:rsidR="005F5F35" w:rsidRPr="00CB5D3E" w14:paraId="2E60F852" w14:textId="77777777" w:rsidTr="00D32AC7">
        <w:tblPrEx>
          <w:tblCellMar>
            <w:top w:w="57" w:type="dxa"/>
            <w:left w:w="119" w:type="dxa"/>
            <w:right w:w="119" w:type="dxa"/>
          </w:tblCellMar>
        </w:tblPrEx>
        <w:trPr>
          <w:trHeight w:val="378"/>
        </w:trPr>
        <w:tc>
          <w:tcPr>
            <w:cnfStyle w:val="001000000000" w:firstRow="0" w:lastRow="0" w:firstColumn="1" w:lastColumn="0" w:oddVBand="0" w:evenVBand="0" w:oddHBand="0" w:evenHBand="0" w:firstRowFirstColumn="0" w:firstRowLastColumn="0" w:lastRowFirstColumn="0" w:lastRowLastColumn="0"/>
            <w:tcW w:w="401" w:type="pct"/>
            <w:shd w:val="clear" w:color="auto" w:fill="auto"/>
          </w:tcPr>
          <w:p w14:paraId="1CD5B3AD" w14:textId="592323A6" w:rsidR="005F5F35" w:rsidRDefault="005F5F35" w:rsidP="00C613C3">
            <w:pPr>
              <w:pStyle w:val="Tabletext"/>
              <w:spacing w:before="60" w:after="60" w:line="240" w:lineRule="auto"/>
              <w:rPr>
                <w:sz w:val="22"/>
                <w:szCs w:val="22"/>
              </w:rPr>
            </w:pPr>
            <w:r>
              <w:rPr>
                <w:sz w:val="22"/>
                <w:szCs w:val="22"/>
              </w:rPr>
              <w:t>1.8</w:t>
            </w:r>
          </w:p>
        </w:tc>
        <w:tc>
          <w:tcPr>
            <w:tcW w:w="4599" w:type="pct"/>
            <w:gridSpan w:val="3"/>
          </w:tcPr>
          <w:p w14:paraId="341B8A8C" w14:textId="77777777" w:rsidR="005F5F35" w:rsidRDefault="005F5F35"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NEIGHBOURHOOD DISPUTES</w:t>
            </w:r>
          </w:p>
          <w:p w14:paraId="4D5AC5BE" w14:textId="2FA78772" w:rsidR="005F5F35" w:rsidRPr="005F5F35" w:rsidRDefault="005F5F35"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i/>
                <w:sz w:val="22"/>
                <w:szCs w:val="22"/>
              </w:rPr>
            </w:pPr>
            <w:r>
              <w:rPr>
                <w:i/>
                <w:sz w:val="22"/>
                <w:szCs w:val="22"/>
              </w:rPr>
              <w:t>The process of hearing complaints about trees and dividing fence disputes.</w:t>
            </w:r>
          </w:p>
        </w:tc>
      </w:tr>
      <w:tr w:rsidR="005F5F35" w:rsidRPr="00CB5D3E" w14:paraId="782BFCED" w14:textId="77777777" w:rsidTr="00146F28">
        <w:tblPrEx>
          <w:tblCellMar>
            <w:top w:w="57" w:type="dxa"/>
            <w:left w:w="119" w:type="dxa"/>
            <w:right w:w="119" w:type="dxa"/>
          </w:tblCellMar>
        </w:tblPrEx>
        <w:tc>
          <w:tcPr>
            <w:cnfStyle w:val="001000000000" w:firstRow="0" w:lastRow="0" w:firstColumn="1" w:lastColumn="0" w:oddVBand="0" w:evenVBand="0" w:oddHBand="0" w:evenHBand="0" w:firstRowFirstColumn="0" w:firstRowLastColumn="0" w:lastRowFirstColumn="0" w:lastRowLastColumn="0"/>
            <w:tcW w:w="401" w:type="pct"/>
            <w:shd w:val="clear" w:color="auto" w:fill="auto"/>
          </w:tcPr>
          <w:p w14:paraId="62E69F15" w14:textId="4903DF21" w:rsidR="005F5F35" w:rsidRPr="00CB5D3E" w:rsidRDefault="005F5F35" w:rsidP="00C613C3">
            <w:pPr>
              <w:pStyle w:val="Tabletext"/>
              <w:spacing w:before="60" w:after="60" w:line="240" w:lineRule="auto"/>
              <w:rPr>
                <w:sz w:val="22"/>
                <w:szCs w:val="22"/>
              </w:rPr>
            </w:pPr>
            <w:r>
              <w:rPr>
                <w:sz w:val="22"/>
                <w:szCs w:val="22"/>
              </w:rPr>
              <w:t>1.8.1</w:t>
            </w:r>
          </w:p>
        </w:tc>
        <w:tc>
          <w:tcPr>
            <w:tcW w:w="2878" w:type="pct"/>
          </w:tcPr>
          <w:p w14:paraId="3493D01A" w14:textId="77777777" w:rsidR="005F5F35" w:rsidRPr="005F5F35" w:rsidRDefault="005F5F35"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b/>
                <w:i/>
                <w:sz w:val="22"/>
                <w:szCs w:val="22"/>
              </w:rPr>
            </w:pPr>
            <w:r w:rsidRPr="005F5F35">
              <w:rPr>
                <w:b/>
                <w:i/>
                <w:sz w:val="22"/>
                <w:szCs w:val="22"/>
              </w:rPr>
              <w:t>Neighbourhood disputes case files</w:t>
            </w:r>
          </w:p>
          <w:p w14:paraId="6001A6F7" w14:textId="77777777" w:rsidR="005F5F35" w:rsidRDefault="005F5F35"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Case management records relating to hearings of neighbourhood disputes which include tree and dividing fence disputes.</w:t>
            </w:r>
          </w:p>
          <w:p w14:paraId="168DB263" w14:textId="77777777" w:rsidR="005F5F35" w:rsidRDefault="005F5F35"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Records may include, but are not limited to:</w:t>
            </w:r>
          </w:p>
          <w:p w14:paraId="55012EDE" w14:textId="77777777" w:rsidR="005F5F35" w:rsidRDefault="005F5F35" w:rsidP="00214132">
            <w:pPr>
              <w:numPr>
                <w:ilvl w:val="0"/>
                <w:numId w:val="40"/>
              </w:numPr>
              <w:spacing w:before="60" w:line="240" w:lineRule="auto"/>
              <w:cnfStyle w:val="000000000000" w:firstRow="0" w:lastRow="0" w:firstColumn="0" w:lastColumn="0" w:oddVBand="0" w:evenVBand="0" w:oddHBand="0" w:evenHBand="0" w:firstRowFirstColumn="0" w:firstRowLastColumn="0" w:lastRowFirstColumn="0" w:lastRowLastColumn="0"/>
              <w:rPr>
                <w:rFonts w:cs="Arial"/>
                <w:szCs w:val="22"/>
                <w:lang w:eastAsia="en-AU"/>
              </w:rPr>
            </w:pPr>
            <w:r w:rsidRPr="0049459B">
              <w:rPr>
                <w:rFonts w:cs="Arial"/>
                <w:szCs w:val="22"/>
                <w:lang w:eastAsia="en-AU"/>
              </w:rPr>
              <w:t xml:space="preserve">signed </w:t>
            </w:r>
            <w:r>
              <w:rPr>
                <w:rFonts w:cs="Arial"/>
                <w:szCs w:val="22"/>
                <w:lang w:eastAsia="en-AU"/>
              </w:rPr>
              <w:t>final hearing</w:t>
            </w:r>
            <w:r w:rsidRPr="0049459B">
              <w:rPr>
                <w:rFonts w:cs="Arial"/>
                <w:szCs w:val="22"/>
                <w:lang w:eastAsia="en-AU"/>
              </w:rPr>
              <w:t xml:space="preserve"> decisions </w:t>
            </w:r>
          </w:p>
          <w:p w14:paraId="296FEF9D" w14:textId="30D1FDE6" w:rsidR="005F5F35" w:rsidRPr="0049459B" w:rsidRDefault="008974D0" w:rsidP="00214132">
            <w:pPr>
              <w:numPr>
                <w:ilvl w:val="0"/>
                <w:numId w:val="40"/>
              </w:numPr>
              <w:spacing w:before="60" w:line="240" w:lineRule="auto"/>
              <w:cnfStyle w:val="000000000000" w:firstRow="0" w:lastRow="0" w:firstColumn="0" w:lastColumn="0" w:oddVBand="0" w:evenVBand="0" w:oddHBand="0" w:evenHBand="0" w:firstRowFirstColumn="0" w:firstRowLastColumn="0" w:lastRowFirstColumn="0" w:lastRowLastColumn="0"/>
              <w:rPr>
                <w:rFonts w:cs="Arial"/>
                <w:szCs w:val="22"/>
                <w:lang w:eastAsia="en-AU"/>
              </w:rPr>
            </w:pPr>
            <w:r>
              <w:rPr>
                <w:rFonts w:cs="Arial"/>
                <w:szCs w:val="22"/>
                <w:lang w:eastAsia="en-AU"/>
              </w:rPr>
              <w:lastRenderedPageBreak/>
              <w:t xml:space="preserve">signed </w:t>
            </w:r>
            <w:r w:rsidR="005F5F35">
              <w:rPr>
                <w:rFonts w:cs="Arial"/>
                <w:szCs w:val="22"/>
                <w:lang w:eastAsia="en-AU"/>
              </w:rPr>
              <w:t>i</w:t>
            </w:r>
            <w:r w:rsidR="005F5F35" w:rsidRPr="0049459B">
              <w:rPr>
                <w:rFonts w:cs="Arial"/>
                <w:szCs w:val="22"/>
                <w:lang w:eastAsia="en-AU"/>
              </w:rPr>
              <w:t xml:space="preserve">nterim </w:t>
            </w:r>
            <w:r w:rsidR="005F5F35">
              <w:rPr>
                <w:rFonts w:cs="Arial"/>
                <w:szCs w:val="22"/>
                <w:lang w:eastAsia="en-AU"/>
              </w:rPr>
              <w:t>o</w:t>
            </w:r>
            <w:r w:rsidR="005F5F35" w:rsidRPr="0049459B">
              <w:rPr>
                <w:rFonts w:cs="Arial"/>
                <w:szCs w:val="22"/>
                <w:lang w:eastAsia="en-AU"/>
              </w:rPr>
              <w:t>rders/</w:t>
            </w:r>
            <w:r w:rsidR="005F5F35">
              <w:rPr>
                <w:rFonts w:cs="Arial"/>
                <w:szCs w:val="22"/>
                <w:lang w:eastAsia="en-AU"/>
              </w:rPr>
              <w:t>i</w:t>
            </w:r>
            <w:r w:rsidR="005F5F35" w:rsidRPr="0049459B">
              <w:rPr>
                <w:rFonts w:cs="Arial"/>
                <w:szCs w:val="22"/>
                <w:lang w:eastAsia="en-AU"/>
              </w:rPr>
              <w:t xml:space="preserve">nterlocutory </w:t>
            </w:r>
            <w:r w:rsidR="005F5F35">
              <w:rPr>
                <w:rFonts w:cs="Arial"/>
                <w:szCs w:val="22"/>
                <w:lang w:eastAsia="en-AU"/>
              </w:rPr>
              <w:t>m</w:t>
            </w:r>
            <w:r w:rsidR="005F5F35" w:rsidRPr="0049459B">
              <w:rPr>
                <w:rFonts w:cs="Arial"/>
                <w:szCs w:val="22"/>
                <w:lang w:eastAsia="en-AU"/>
              </w:rPr>
              <w:t>atters</w:t>
            </w:r>
            <w:r w:rsidR="005F5F35">
              <w:rPr>
                <w:rFonts w:cs="Arial"/>
                <w:szCs w:val="22"/>
                <w:lang w:eastAsia="en-AU"/>
              </w:rPr>
              <w:t xml:space="preserve"> and decisions</w:t>
            </w:r>
          </w:p>
          <w:p w14:paraId="46482244" w14:textId="77777777" w:rsidR="005F5F35" w:rsidRDefault="005F5F35" w:rsidP="00214132">
            <w:pPr>
              <w:numPr>
                <w:ilvl w:val="0"/>
                <w:numId w:val="40"/>
              </w:numPr>
              <w:spacing w:before="60" w:line="240" w:lineRule="auto"/>
              <w:cnfStyle w:val="000000000000" w:firstRow="0" w:lastRow="0" w:firstColumn="0" w:lastColumn="0" w:oddVBand="0" w:evenVBand="0" w:oddHBand="0" w:evenHBand="0" w:firstRowFirstColumn="0" w:firstRowLastColumn="0" w:lastRowFirstColumn="0" w:lastRowLastColumn="0"/>
              <w:rPr>
                <w:rFonts w:cs="Arial"/>
                <w:szCs w:val="22"/>
                <w:lang w:eastAsia="en-AU"/>
              </w:rPr>
            </w:pPr>
            <w:r>
              <w:rPr>
                <w:rFonts w:cs="Arial"/>
                <w:szCs w:val="22"/>
                <w:lang w:eastAsia="en-AU"/>
              </w:rPr>
              <w:t>complaints case files</w:t>
            </w:r>
          </w:p>
          <w:p w14:paraId="4EFED0BE" w14:textId="4D44E51E" w:rsidR="005F5F35" w:rsidRPr="00835E8A" w:rsidRDefault="005F5F35" w:rsidP="00214132">
            <w:pPr>
              <w:pStyle w:val="Tabletext"/>
              <w:numPr>
                <w:ilvl w:val="0"/>
                <w:numId w:val="40"/>
              </w:numPr>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3B02E8">
              <w:rPr>
                <w:rFonts w:cs="Arial"/>
                <w:sz w:val="22"/>
                <w:szCs w:val="22"/>
                <w:lang w:eastAsia="en-AU"/>
              </w:rPr>
              <w:t>transcripts (</w:t>
            </w:r>
            <w:r>
              <w:rPr>
                <w:rFonts w:cs="Arial"/>
                <w:sz w:val="22"/>
                <w:szCs w:val="22"/>
                <w:lang w:eastAsia="en-AU"/>
              </w:rPr>
              <w:t>i</w:t>
            </w:r>
            <w:r w:rsidRPr="003B02E8">
              <w:rPr>
                <w:rFonts w:cs="Arial"/>
                <w:sz w:val="22"/>
                <w:szCs w:val="22"/>
                <w:lang w:eastAsia="en-AU"/>
              </w:rPr>
              <w:t>ncludes master, transcribed and untranscribed).</w:t>
            </w:r>
          </w:p>
        </w:tc>
        <w:tc>
          <w:tcPr>
            <w:tcW w:w="703" w:type="pct"/>
          </w:tcPr>
          <w:p w14:paraId="209AEB68" w14:textId="1D25AECA" w:rsidR="005F5F35" w:rsidRPr="00CB5D3E" w:rsidRDefault="005F5F35" w:rsidP="00C613C3">
            <w:pPr>
              <w:pStyle w:val="Table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lastRenderedPageBreak/>
              <w:t>Temporary</w:t>
            </w:r>
          </w:p>
        </w:tc>
        <w:tc>
          <w:tcPr>
            <w:tcW w:w="1018" w:type="pct"/>
          </w:tcPr>
          <w:p w14:paraId="7245BB36" w14:textId="49AF2A96" w:rsidR="005F5F35" w:rsidRPr="00CB5D3E" w:rsidRDefault="005F5F35"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EE50E0">
              <w:rPr>
                <w:rFonts w:cs="Arial"/>
                <w:sz w:val="22"/>
                <w:szCs w:val="22"/>
              </w:rPr>
              <w:t xml:space="preserve">Retain for 12 years after </w:t>
            </w:r>
            <w:r>
              <w:rPr>
                <w:rFonts w:cs="Arial"/>
                <w:sz w:val="22"/>
                <w:szCs w:val="22"/>
              </w:rPr>
              <w:t>business</w:t>
            </w:r>
            <w:r w:rsidRPr="00EE50E0">
              <w:rPr>
                <w:rFonts w:cs="Arial"/>
                <w:sz w:val="22"/>
                <w:szCs w:val="22"/>
              </w:rPr>
              <w:t xml:space="preserve"> action</w:t>
            </w:r>
            <w:r>
              <w:rPr>
                <w:rFonts w:cs="Arial"/>
                <w:sz w:val="22"/>
                <w:szCs w:val="22"/>
              </w:rPr>
              <w:t xml:space="preserve"> completed</w:t>
            </w:r>
            <w:r w:rsidRPr="00EE50E0">
              <w:rPr>
                <w:rFonts w:cs="Arial"/>
                <w:sz w:val="22"/>
                <w:szCs w:val="22"/>
              </w:rPr>
              <w:t xml:space="preserve"> and finalisation of all appeal processes</w:t>
            </w:r>
            <w:r>
              <w:rPr>
                <w:rFonts w:cs="Arial"/>
                <w:sz w:val="22"/>
                <w:szCs w:val="22"/>
              </w:rPr>
              <w:t>.</w:t>
            </w:r>
          </w:p>
        </w:tc>
      </w:tr>
      <w:tr w:rsidR="005F5F35" w:rsidRPr="00CB5D3E" w14:paraId="1E0B8918" w14:textId="77777777" w:rsidTr="00D32AC7">
        <w:tblPrEx>
          <w:tblCellMar>
            <w:top w:w="57" w:type="dxa"/>
            <w:left w:w="119" w:type="dxa"/>
            <w:right w:w="119" w:type="dxa"/>
          </w:tblCellMar>
        </w:tblPrEx>
        <w:trPr>
          <w:trHeight w:val="378"/>
        </w:trPr>
        <w:tc>
          <w:tcPr>
            <w:cnfStyle w:val="001000000000" w:firstRow="0" w:lastRow="0" w:firstColumn="1" w:lastColumn="0" w:oddVBand="0" w:evenVBand="0" w:oddHBand="0" w:evenHBand="0" w:firstRowFirstColumn="0" w:firstRowLastColumn="0" w:lastRowFirstColumn="0" w:lastRowLastColumn="0"/>
            <w:tcW w:w="401" w:type="pct"/>
            <w:shd w:val="clear" w:color="auto" w:fill="auto"/>
          </w:tcPr>
          <w:p w14:paraId="4E13532E" w14:textId="3A6F2FD7" w:rsidR="005F5F35" w:rsidRPr="00CB5D3E" w:rsidRDefault="005F5F35" w:rsidP="00C613C3">
            <w:pPr>
              <w:pStyle w:val="Tabletext"/>
              <w:spacing w:before="60" w:after="60" w:line="240" w:lineRule="auto"/>
              <w:rPr>
                <w:sz w:val="22"/>
                <w:szCs w:val="22"/>
              </w:rPr>
            </w:pPr>
            <w:r>
              <w:rPr>
                <w:sz w:val="22"/>
                <w:szCs w:val="22"/>
              </w:rPr>
              <w:t>1.9</w:t>
            </w:r>
          </w:p>
        </w:tc>
        <w:tc>
          <w:tcPr>
            <w:tcW w:w="4599" w:type="pct"/>
            <w:gridSpan w:val="3"/>
          </w:tcPr>
          <w:p w14:paraId="566AF655" w14:textId="77777777" w:rsidR="005F5F35" w:rsidRPr="00471398" w:rsidRDefault="005F5F35"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b/>
                <w:sz w:val="22"/>
                <w:szCs w:val="22"/>
              </w:rPr>
            </w:pPr>
            <w:r w:rsidRPr="00471398">
              <w:rPr>
                <w:b/>
                <w:sz w:val="22"/>
                <w:szCs w:val="22"/>
              </w:rPr>
              <w:t>OCCUPATIONAL REGULATION</w:t>
            </w:r>
          </w:p>
          <w:p w14:paraId="607906ED" w14:textId="77777777" w:rsidR="005F5F35" w:rsidRPr="00835E8A" w:rsidRDefault="005F5F35" w:rsidP="00C613C3">
            <w:pPr>
              <w:pStyle w:val="Tabletext"/>
              <w:spacing w:before="60" w:after="60" w:line="240" w:lineRule="auto"/>
              <w:ind w:left="720" w:hanging="720"/>
              <w:cnfStyle w:val="000000000000" w:firstRow="0" w:lastRow="0" w:firstColumn="0" w:lastColumn="0" w:oddVBand="0" w:evenVBand="0" w:oddHBand="0" w:evenHBand="0" w:firstRowFirstColumn="0" w:firstRowLastColumn="0" w:lastRowFirstColumn="0" w:lastRowLastColumn="0"/>
              <w:rPr>
                <w:i/>
                <w:sz w:val="22"/>
                <w:szCs w:val="22"/>
              </w:rPr>
            </w:pPr>
            <w:r>
              <w:rPr>
                <w:i/>
                <w:sz w:val="22"/>
                <w:szCs w:val="22"/>
              </w:rPr>
              <w:t>The process of hearing complaints against occupations that are governed by an authority, board, panel, committee or society.</w:t>
            </w:r>
          </w:p>
        </w:tc>
      </w:tr>
      <w:tr w:rsidR="005F5F35" w:rsidRPr="00CB5D3E" w14:paraId="21F8DA17" w14:textId="77777777" w:rsidTr="00D32AC7">
        <w:tblPrEx>
          <w:tblCellMar>
            <w:top w:w="57" w:type="dxa"/>
            <w:left w:w="119" w:type="dxa"/>
            <w:right w:w="119" w:type="dxa"/>
          </w:tblCellMar>
        </w:tblPrEx>
        <w:tc>
          <w:tcPr>
            <w:cnfStyle w:val="001000000000" w:firstRow="0" w:lastRow="0" w:firstColumn="1" w:lastColumn="0" w:oddVBand="0" w:evenVBand="0" w:oddHBand="0" w:evenHBand="0" w:firstRowFirstColumn="0" w:firstRowLastColumn="0" w:lastRowFirstColumn="0" w:lastRowLastColumn="0"/>
            <w:tcW w:w="401" w:type="pct"/>
            <w:shd w:val="clear" w:color="auto" w:fill="auto"/>
          </w:tcPr>
          <w:p w14:paraId="3B970CC6" w14:textId="2ABC2E43" w:rsidR="005F5F35" w:rsidRPr="00CB5D3E" w:rsidRDefault="005F5F35" w:rsidP="00C613C3">
            <w:pPr>
              <w:pStyle w:val="Tabletext"/>
              <w:spacing w:before="60" w:after="60" w:line="240" w:lineRule="auto"/>
              <w:rPr>
                <w:sz w:val="22"/>
                <w:szCs w:val="22"/>
              </w:rPr>
            </w:pPr>
            <w:r>
              <w:rPr>
                <w:sz w:val="22"/>
                <w:szCs w:val="22"/>
              </w:rPr>
              <w:t>1.9.1</w:t>
            </w:r>
          </w:p>
        </w:tc>
        <w:tc>
          <w:tcPr>
            <w:tcW w:w="2878" w:type="pct"/>
          </w:tcPr>
          <w:p w14:paraId="2CD1E478" w14:textId="77777777" w:rsidR="005F5F35" w:rsidRDefault="005F5F35"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b/>
                <w:i/>
                <w:sz w:val="22"/>
                <w:szCs w:val="22"/>
              </w:rPr>
            </w:pPr>
            <w:r>
              <w:rPr>
                <w:b/>
                <w:i/>
                <w:sz w:val="22"/>
                <w:szCs w:val="22"/>
              </w:rPr>
              <w:t>Occupational regulation case files</w:t>
            </w:r>
          </w:p>
          <w:p w14:paraId="0B368F96" w14:textId="77777777" w:rsidR="005F5F35" w:rsidRDefault="005F5F35"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Case management records relating to the review of decisions made by appointed governing bodies for occupations that include, but are not limited to:</w:t>
            </w:r>
          </w:p>
          <w:p w14:paraId="472F259D" w14:textId="77777777" w:rsidR="005F5F35" w:rsidRDefault="005F5F35" w:rsidP="00C613C3">
            <w:pPr>
              <w:pStyle w:val="Tabletext"/>
              <w:numPr>
                <w:ilvl w:val="0"/>
                <w:numId w:val="31"/>
              </w:numPr>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health practitioners</w:t>
            </w:r>
          </w:p>
          <w:p w14:paraId="76C2D3BF" w14:textId="77777777" w:rsidR="005F5F35" w:rsidRDefault="005F5F35" w:rsidP="00C613C3">
            <w:pPr>
              <w:pStyle w:val="Tabletext"/>
              <w:numPr>
                <w:ilvl w:val="0"/>
                <w:numId w:val="31"/>
              </w:numPr>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motor dealers</w:t>
            </w:r>
          </w:p>
          <w:p w14:paraId="2B422CD1" w14:textId="77777777" w:rsidR="005F5F35" w:rsidRDefault="005F5F35" w:rsidP="00C613C3">
            <w:pPr>
              <w:pStyle w:val="Tabletext"/>
              <w:numPr>
                <w:ilvl w:val="0"/>
                <w:numId w:val="31"/>
              </w:numPr>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plumbers and drainers</w:t>
            </w:r>
          </w:p>
          <w:p w14:paraId="24BE0D18" w14:textId="77777777" w:rsidR="005F5F35" w:rsidRDefault="005F5F35" w:rsidP="00C613C3">
            <w:pPr>
              <w:pStyle w:val="Tabletext"/>
              <w:numPr>
                <w:ilvl w:val="0"/>
                <w:numId w:val="31"/>
              </w:numPr>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police officers and other prescribed persons</w:t>
            </w:r>
          </w:p>
          <w:p w14:paraId="2A0909EB" w14:textId="77777777" w:rsidR="005F5F35" w:rsidRDefault="005F5F35" w:rsidP="00C613C3">
            <w:pPr>
              <w:pStyle w:val="Tabletext"/>
              <w:numPr>
                <w:ilvl w:val="0"/>
                <w:numId w:val="31"/>
              </w:numPr>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property agents</w:t>
            </w:r>
          </w:p>
          <w:p w14:paraId="37CE38B0" w14:textId="77777777" w:rsidR="005F5F35" w:rsidRDefault="005F5F35" w:rsidP="00C613C3">
            <w:pPr>
              <w:pStyle w:val="Tabletext"/>
              <w:numPr>
                <w:ilvl w:val="0"/>
                <w:numId w:val="31"/>
              </w:numPr>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teachers</w:t>
            </w:r>
          </w:p>
          <w:p w14:paraId="7D619A3D" w14:textId="77777777" w:rsidR="005F5F35" w:rsidRDefault="005F5F35" w:rsidP="00C613C3">
            <w:pPr>
              <w:pStyle w:val="Tabletext"/>
              <w:numPr>
                <w:ilvl w:val="0"/>
                <w:numId w:val="31"/>
              </w:numPr>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veterinary surgeons.</w:t>
            </w:r>
          </w:p>
          <w:p w14:paraId="2467225A" w14:textId="77777777" w:rsidR="005F5F35" w:rsidRDefault="005F5F35"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Records may include, but are not limited to:</w:t>
            </w:r>
          </w:p>
          <w:p w14:paraId="239DAAD8" w14:textId="77777777" w:rsidR="005F5F35" w:rsidRDefault="005F5F35" w:rsidP="00214132">
            <w:pPr>
              <w:numPr>
                <w:ilvl w:val="0"/>
                <w:numId w:val="41"/>
              </w:numPr>
              <w:spacing w:before="60" w:line="240" w:lineRule="auto"/>
              <w:cnfStyle w:val="000000000000" w:firstRow="0" w:lastRow="0" w:firstColumn="0" w:lastColumn="0" w:oddVBand="0" w:evenVBand="0" w:oddHBand="0" w:evenHBand="0" w:firstRowFirstColumn="0" w:firstRowLastColumn="0" w:lastRowFirstColumn="0" w:lastRowLastColumn="0"/>
              <w:rPr>
                <w:rFonts w:cs="Arial"/>
                <w:szCs w:val="22"/>
                <w:lang w:eastAsia="en-AU"/>
              </w:rPr>
            </w:pPr>
            <w:r w:rsidRPr="0049459B">
              <w:rPr>
                <w:rFonts w:cs="Arial"/>
                <w:szCs w:val="22"/>
                <w:lang w:eastAsia="en-AU"/>
              </w:rPr>
              <w:t xml:space="preserve">signed </w:t>
            </w:r>
            <w:r>
              <w:rPr>
                <w:rFonts w:cs="Arial"/>
                <w:szCs w:val="22"/>
                <w:lang w:eastAsia="en-AU"/>
              </w:rPr>
              <w:t>final hearing</w:t>
            </w:r>
            <w:r w:rsidRPr="0049459B">
              <w:rPr>
                <w:rFonts w:cs="Arial"/>
                <w:szCs w:val="22"/>
                <w:lang w:eastAsia="en-AU"/>
              </w:rPr>
              <w:t xml:space="preserve"> decisions </w:t>
            </w:r>
          </w:p>
          <w:p w14:paraId="72AFD344" w14:textId="03063F91" w:rsidR="005F5F35" w:rsidRPr="0049459B" w:rsidRDefault="008974D0" w:rsidP="00214132">
            <w:pPr>
              <w:numPr>
                <w:ilvl w:val="0"/>
                <w:numId w:val="41"/>
              </w:numPr>
              <w:spacing w:before="60" w:line="240" w:lineRule="auto"/>
              <w:cnfStyle w:val="000000000000" w:firstRow="0" w:lastRow="0" w:firstColumn="0" w:lastColumn="0" w:oddVBand="0" w:evenVBand="0" w:oddHBand="0" w:evenHBand="0" w:firstRowFirstColumn="0" w:firstRowLastColumn="0" w:lastRowFirstColumn="0" w:lastRowLastColumn="0"/>
              <w:rPr>
                <w:rFonts w:cs="Arial"/>
                <w:szCs w:val="22"/>
                <w:lang w:eastAsia="en-AU"/>
              </w:rPr>
            </w:pPr>
            <w:r>
              <w:rPr>
                <w:rFonts w:cs="Arial"/>
                <w:szCs w:val="22"/>
                <w:lang w:eastAsia="en-AU"/>
              </w:rPr>
              <w:t xml:space="preserve">signed </w:t>
            </w:r>
            <w:r w:rsidR="005F5F35">
              <w:rPr>
                <w:rFonts w:cs="Arial"/>
                <w:szCs w:val="22"/>
                <w:lang w:eastAsia="en-AU"/>
              </w:rPr>
              <w:t>i</w:t>
            </w:r>
            <w:r w:rsidR="005F5F35" w:rsidRPr="0049459B">
              <w:rPr>
                <w:rFonts w:cs="Arial"/>
                <w:szCs w:val="22"/>
                <w:lang w:eastAsia="en-AU"/>
              </w:rPr>
              <w:t xml:space="preserve">nterim </w:t>
            </w:r>
            <w:r w:rsidR="005F5F35">
              <w:rPr>
                <w:rFonts w:cs="Arial"/>
                <w:szCs w:val="22"/>
                <w:lang w:eastAsia="en-AU"/>
              </w:rPr>
              <w:t>o</w:t>
            </w:r>
            <w:r w:rsidR="005F5F35" w:rsidRPr="0049459B">
              <w:rPr>
                <w:rFonts w:cs="Arial"/>
                <w:szCs w:val="22"/>
                <w:lang w:eastAsia="en-AU"/>
              </w:rPr>
              <w:t>rders/</w:t>
            </w:r>
            <w:r w:rsidR="005F5F35">
              <w:rPr>
                <w:rFonts w:cs="Arial"/>
                <w:szCs w:val="22"/>
                <w:lang w:eastAsia="en-AU"/>
              </w:rPr>
              <w:t>i</w:t>
            </w:r>
            <w:r w:rsidR="005F5F35" w:rsidRPr="0049459B">
              <w:rPr>
                <w:rFonts w:cs="Arial"/>
                <w:szCs w:val="22"/>
                <w:lang w:eastAsia="en-AU"/>
              </w:rPr>
              <w:t xml:space="preserve">nterlocutory </w:t>
            </w:r>
            <w:r w:rsidR="005F5F35">
              <w:rPr>
                <w:rFonts w:cs="Arial"/>
                <w:szCs w:val="22"/>
                <w:lang w:eastAsia="en-AU"/>
              </w:rPr>
              <w:t>m</w:t>
            </w:r>
            <w:r w:rsidR="005F5F35" w:rsidRPr="0049459B">
              <w:rPr>
                <w:rFonts w:cs="Arial"/>
                <w:szCs w:val="22"/>
                <w:lang w:eastAsia="en-AU"/>
              </w:rPr>
              <w:t>atters</w:t>
            </w:r>
            <w:r w:rsidR="005F5F35">
              <w:rPr>
                <w:rFonts w:cs="Arial"/>
                <w:szCs w:val="22"/>
                <w:lang w:eastAsia="en-AU"/>
              </w:rPr>
              <w:t xml:space="preserve"> and decisions</w:t>
            </w:r>
          </w:p>
          <w:p w14:paraId="5E48DDC0" w14:textId="77777777" w:rsidR="005F5F35" w:rsidRDefault="005F5F35" w:rsidP="00214132">
            <w:pPr>
              <w:numPr>
                <w:ilvl w:val="0"/>
                <w:numId w:val="41"/>
              </w:numPr>
              <w:spacing w:before="60" w:line="240" w:lineRule="auto"/>
              <w:cnfStyle w:val="000000000000" w:firstRow="0" w:lastRow="0" w:firstColumn="0" w:lastColumn="0" w:oddVBand="0" w:evenVBand="0" w:oddHBand="0" w:evenHBand="0" w:firstRowFirstColumn="0" w:firstRowLastColumn="0" w:lastRowFirstColumn="0" w:lastRowLastColumn="0"/>
              <w:rPr>
                <w:rFonts w:cs="Arial"/>
                <w:szCs w:val="22"/>
                <w:lang w:eastAsia="en-AU"/>
              </w:rPr>
            </w:pPr>
            <w:r>
              <w:rPr>
                <w:rFonts w:cs="Arial"/>
                <w:szCs w:val="22"/>
                <w:lang w:eastAsia="en-AU"/>
              </w:rPr>
              <w:t>complaints case files</w:t>
            </w:r>
          </w:p>
          <w:p w14:paraId="2C6FE6F1" w14:textId="67168BD5" w:rsidR="005F5F35" w:rsidRPr="00835E8A" w:rsidRDefault="005F5F35" w:rsidP="00214132">
            <w:pPr>
              <w:pStyle w:val="Tabletext"/>
              <w:numPr>
                <w:ilvl w:val="0"/>
                <w:numId w:val="41"/>
              </w:numPr>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3B02E8">
              <w:rPr>
                <w:rFonts w:cs="Arial"/>
                <w:sz w:val="22"/>
                <w:szCs w:val="22"/>
                <w:lang w:eastAsia="en-AU"/>
              </w:rPr>
              <w:t>transcripts (</w:t>
            </w:r>
            <w:r w:rsidR="008974D0">
              <w:rPr>
                <w:rFonts w:cs="Arial"/>
                <w:sz w:val="22"/>
                <w:szCs w:val="22"/>
                <w:lang w:eastAsia="en-AU"/>
              </w:rPr>
              <w:t>i</w:t>
            </w:r>
            <w:r w:rsidRPr="003B02E8">
              <w:rPr>
                <w:rFonts w:cs="Arial"/>
                <w:sz w:val="22"/>
                <w:szCs w:val="22"/>
                <w:lang w:eastAsia="en-AU"/>
              </w:rPr>
              <w:t>ncludes master, transcribed and untranscribed).</w:t>
            </w:r>
          </w:p>
        </w:tc>
        <w:tc>
          <w:tcPr>
            <w:tcW w:w="703" w:type="pct"/>
          </w:tcPr>
          <w:p w14:paraId="5BFB7D5F" w14:textId="77777777" w:rsidR="005F5F35" w:rsidRPr="00CB5D3E" w:rsidRDefault="005F5F35" w:rsidP="00C613C3">
            <w:pPr>
              <w:pStyle w:val="Table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Temporary</w:t>
            </w:r>
          </w:p>
        </w:tc>
        <w:tc>
          <w:tcPr>
            <w:tcW w:w="1018" w:type="pct"/>
          </w:tcPr>
          <w:p w14:paraId="5A058CD6" w14:textId="693C32C3" w:rsidR="005F5F35" w:rsidRPr="00CB5D3E" w:rsidRDefault="005F5F35"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EE50E0">
              <w:rPr>
                <w:rFonts w:cs="Arial"/>
                <w:sz w:val="22"/>
                <w:szCs w:val="22"/>
              </w:rPr>
              <w:t xml:space="preserve">Retain for 12 years after </w:t>
            </w:r>
            <w:r>
              <w:rPr>
                <w:rFonts w:cs="Arial"/>
                <w:sz w:val="22"/>
                <w:szCs w:val="22"/>
              </w:rPr>
              <w:t>business</w:t>
            </w:r>
            <w:r w:rsidRPr="00EE50E0">
              <w:rPr>
                <w:rFonts w:cs="Arial"/>
                <w:sz w:val="22"/>
                <w:szCs w:val="22"/>
              </w:rPr>
              <w:t xml:space="preserve"> action</w:t>
            </w:r>
            <w:r>
              <w:rPr>
                <w:rFonts w:cs="Arial"/>
                <w:sz w:val="22"/>
                <w:szCs w:val="22"/>
              </w:rPr>
              <w:t xml:space="preserve"> completed</w:t>
            </w:r>
            <w:r w:rsidRPr="00EE50E0">
              <w:rPr>
                <w:rFonts w:cs="Arial"/>
                <w:sz w:val="22"/>
                <w:szCs w:val="22"/>
              </w:rPr>
              <w:t xml:space="preserve"> and finalisation of all appeal processes</w:t>
            </w:r>
            <w:r>
              <w:rPr>
                <w:rFonts w:cs="Arial"/>
                <w:sz w:val="22"/>
                <w:szCs w:val="22"/>
              </w:rPr>
              <w:t>.</w:t>
            </w:r>
          </w:p>
        </w:tc>
      </w:tr>
      <w:tr w:rsidR="005F5F35" w:rsidRPr="00CB5D3E" w14:paraId="0F0BFE7D" w14:textId="77777777" w:rsidTr="00471398">
        <w:tblPrEx>
          <w:tblCellMar>
            <w:top w:w="57" w:type="dxa"/>
            <w:left w:w="119" w:type="dxa"/>
            <w:right w:w="119" w:type="dxa"/>
          </w:tblCellMar>
        </w:tblPrEx>
        <w:trPr>
          <w:trHeight w:val="671"/>
        </w:trPr>
        <w:tc>
          <w:tcPr>
            <w:cnfStyle w:val="001000000000" w:firstRow="0" w:lastRow="0" w:firstColumn="1" w:lastColumn="0" w:oddVBand="0" w:evenVBand="0" w:oddHBand="0" w:evenHBand="0" w:firstRowFirstColumn="0" w:firstRowLastColumn="0" w:lastRowFirstColumn="0" w:lastRowLastColumn="0"/>
            <w:tcW w:w="401" w:type="pct"/>
            <w:shd w:val="clear" w:color="auto" w:fill="auto"/>
          </w:tcPr>
          <w:p w14:paraId="62D370DB" w14:textId="219A3A6F" w:rsidR="005F5F35" w:rsidRPr="00CB5D3E" w:rsidRDefault="005F5F35" w:rsidP="00C613C3">
            <w:pPr>
              <w:pStyle w:val="Tabletext"/>
              <w:spacing w:before="60" w:after="60" w:line="240" w:lineRule="auto"/>
              <w:rPr>
                <w:sz w:val="22"/>
                <w:szCs w:val="22"/>
              </w:rPr>
            </w:pPr>
            <w:r>
              <w:rPr>
                <w:sz w:val="22"/>
                <w:szCs w:val="22"/>
              </w:rPr>
              <w:t>1.10</w:t>
            </w:r>
          </w:p>
        </w:tc>
        <w:tc>
          <w:tcPr>
            <w:tcW w:w="4599" w:type="pct"/>
            <w:gridSpan w:val="3"/>
          </w:tcPr>
          <w:p w14:paraId="649D6CDB" w14:textId="77777777" w:rsidR="005F5F35" w:rsidRPr="00471398" w:rsidRDefault="005F5F35"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b/>
                <w:sz w:val="22"/>
                <w:szCs w:val="28"/>
              </w:rPr>
            </w:pPr>
            <w:r w:rsidRPr="00471398">
              <w:rPr>
                <w:b/>
                <w:sz w:val="22"/>
                <w:szCs w:val="28"/>
              </w:rPr>
              <w:t>OTHER CIVIL DISPUTES</w:t>
            </w:r>
          </w:p>
          <w:p w14:paraId="0665EB99" w14:textId="5AEB41D6" w:rsidR="005F5F35" w:rsidRPr="007E0566" w:rsidRDefault="005D6842" w:rsidP="005D6842">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i/>
                <w:sz w:val="22"/>
                <w:szCs w:val="22"/>
              </w:rPr>
            </w:pPr>
            <w:r w:rsidRPr="007E0566">
              <w:rPr>
                <w:i/>
                <w:sz w:val="22"/>
                <w:szCs w:val="22"/>
              </w:rPr>
              <w:t>The process of hearing disputes between individuals, or an individual and a trader, business or company</w:t>
            </w:r>
            <w:r>
              <w:rPr>
                <w:i/>
                <w:sz w:val="22"/>
                <w:szCs w:val="22"/>
              </w:rPr>
              <w:t xml:space="preserve"> that are not covered by the </w:t>
            </w:r>
            <w:hyperlink w:anchor="MinorCivilDisputes" w:history="1">
              <w:r w:rsidRPr="005D6842">
                <w:rPr>
                  <w:rStyle w:val="Hyperlink"/>
                  <w:i/>
                  <w:sz w:val="22"/>
                  <w:szCs w:val="22"/>
                </w:rPr>
                <w:t>Minor Civil Disputes</w:t>
              </w:r>
            </w:hyperlink>
            <w:r>
              <w:rPr>
                <w:i/>
                <w:sz w:val="22"/>
                <w:szCs w:val="22"/>
              </w:rPr>
              <w:t xml:space="preserve"> activity.</w:t>
            </w:r>
          </w:p>
        </w:tc>
      </w:tr>
      <w:tr w:rsidR="005F5F35" w:rsidRPr="00CB5D3E" w14:paraId="126851C6" w14:textId="77777777" w:rsidTr="005F5F35">
        <w:tblPrEx>
          <w:tblCellMar>
            <w:top w:w="57" w:type="dxa"/>
            <w:left w:w="119" w:type="dxa"/>
            <w:right w:w="119" w:type="dxa"/>
          </w:tblCellMar>
        </w:tblPrEx>
        <w:trPr>
          <w:trHeight w:val="4657"/>
        </w:trPr>
        <w:tc>
          <w:tcPr>
            <w:cnfStyle w:val="001000000000" w:firstRow="0" w:lastRow="0" w:firstColumn="1" w:lastColumn="0" w:oddVBand="0" w:evenVBand="0" w:oddHBand="0" w:evenHBand="0" w:firstRowFirstColumn="0" w:firstRowLastColumn="0" w:lastRowFirstColumn="0" w:lastRowLastColumn="0"/>
            <w:tcW w:w="401" w:type="pct"/>
            <w:shd w:val="clear" w:color="auto" w:fill="auto"/>
          </w:tcPr>
          <w:p w14:paraId="5A2EB3D6" w14:textId="5793F007" w:rsidR="005F5F35" w:rsidRPr="00CB5D3E" w:rsidRDefault="005F5F35" w:rsidP="00C613C3">
            <w:pPr>
              <w:pStyle w:val="Tabletext"/>
              <w:spacing w:before="60" w:after="60" w:line="240" w:lineRule="auto"/>
              <w:rPr>
                <w:sz w:val="22"/>
                <w:szCs w:val="22"/>
              </w:rPr>
            </w:pPr>
            <w:r>
              <w:rPr>
                <w:sz w:val="22"/>
                <w:szCs w:val="22"/>
              </w:rPr>
              <w:lastRenderedPageBreak/>
              <w:t>1.10.1</w:t>
            </w:r>
          </w:p>
        </w:tc>
        <w:tc>
          <w:tcPr>
            <w:tcW w:w="2878" w:type="pct"/>
          </w:tcPr>
          <w:p w14:paraId="4CB5FBF2" w14:textId="77777777" w:rsidR="005F5F35" w:rsidRPr="00AC16A1" w:rsidRDefault="005F5F35"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b/>
                <w:i/>
                <w:sz w:val="22"/>
                <w:szCs w:val="22"/>
              </w:rPr>
            </w:pPr>
            <w:r>
              <w:rPr>
                <w:b/>
                <w:i/>
                <w:sz w:val="22"/>
                <w:szCs w:val="22"/>
              </w:rPr>
              <w:t>Other c</w:t>
            </w:r>
            <w:r w:rsidRPr="00AC16A1">
              <w:rPr>
                <w:b/>
                <w:i/>
                <w:sz w:val="22"/>
                <w:szCs w:val="22"/>
              </w:rPr>
              <w:t>ivil disputes case files</w:t>
            </w:r>
          </w:p>
          <w:p w14:paraId="7C8F5FA2" w14:textId="77777777" w:rsidR="005F5F35" w:rsidRDefault="005F5F35"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Case management records relating to hearings of:</w:t>
            </w:r>
          </w:p>
          <w:p w14:paraId="2354B932" w14:textId="77777777" w:rsidR="005F5F35" w:rsidRDefault="005F5F35" w:rsidP="00C613C3">
            <w:pPr>
              <w:pStyle w:val="Tabletext"/>
              <w:numPr>
                <w:ilvl w:val="0"/>
                <w:numId w:val="26"/>
              </w:numPr>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body corporate and community management scheme disputes</w:t>
            </w:r>
          </w:p>
          <w:p w14:paraId="04518A03" w14:textId="77777777" w:rsidR="005F5F35" w:rsidRDefault="005F5F35" w:rsidP="00C613C3">
            <w:pPr>
              <w:pStyle w:val="Tabletext"/>
              <w:numPr>
                <w:ilvl w:val="0"/>
                <w:numId w:val="26"/>
              </w:numPr>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financial loss caused by a motor dealer or property agent</w:t>
            </w:r>
          </w:p>
          <w:p w14:paraId="47283635" w14:textId="77777777" w:rsidR="005F5F35" w:rsidRDefault="005F5F35" w:rsidP="00C613C3">
            <w:pPr>
              <w:pStyle w:val="Tabletext"/>
              <w:numPr>
                <w:ilvl w:val="0"/>
                <w:numId w:val="26"/>
              </w:numPr>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integrated resort development matters</w:t>
            </w:r>
          </w:p>
          <w:p w14:paraId="6CB47408" w14:textId="77777777" w:rsidR="005F5F35" w:rsidRDefault="005F5F35" w:rsidP="00C613C3">
            <w:pPr>
              <w:pStyle w:val="Tabletext"/>
              <w:numPr>
                <w:ilvl w:val="0"/>
                <w:numId w:val="26"/>
              </w:numPr>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legal cost agreement claims</w:t>
            </w:r>
          </w:p>
          <w:p w14:paraId="61D43C82" w14:textId="77777777" w:rsidR="005F5F35" w:rsidRDefault="005F5F35" w:rsidP="00C613C3">
            <w:pPr>
              <w:pStyle w:val="Tabletext"/>
              <w:numPr>
                <w:ilvl w:val="0"/>
                <w:numId w:val="26"/>
              </w:numPr>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manufactured home park disputes</w:t>
            </w:r>
          </w:p>
          <w:p w14:paraId="26222CC2" w14:textId="77777777" w:rsidR="005F5F35" w:rsidRDefault="005F5F35" w:rsidP="00C613C3">
            <w:pPr>
              <w:pStyle w:val="Tabletext"/>
              <w:numPr>
                <w:ilvl w:val="0"/>
                <w:numId w:val="26"/>
              </w:numPr>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retirement village disputes</w:t>
            </w:r>
          </w:p>
          <w:p w14:paraId="2CA1972B" w14:textId="56463F45" w:rsidR="005F5F35" w:rsidRPr="007E3B8F" w:rsidRDefault="005F5F35" w:rsidP="00C613C3">
            <w:pPr>
              <w:pStyle w:val="Tabletext"/>
              <w:numPr>
                <w:ilvl w:val="0"/>
                <w:numId w:val="26"/>
              </w:numPr>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Sanctuary Cove resort matters.</w:t>
            </w:r>
          </w:p>
          <w:p w14:paraId="4E310890" w14:textId="77777777" w:rsidR="005F5F35" w:rsidRDefault="005F5F35"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Records may include, but are not limited to:</w:t>
            </w:r>
          </w:p>
          <w:p w14:paraId="4A226224" w14:textId="77777777" w:rsidR="005F5F35" w:rsidRDefault="005F5F35" w:rsidP="00214132">
            <w:pPr>
              <w:numPr>
                <w:ilvl w:val="0"/>
                <w:numId w:val="42"/>
              </w:numPr>
              <w:spacing w:before="60" w:line="240" w:lineRule="auto"/>
              <w:cnfStyle w:val="000000000000" w:firstRow="0" w:lastRow="0" w:firstColumn="0" w:lastColumn="0" w:oddVBand="0" w:evenVBand="0" w:oddHBand="0" w:evenHBand="0" w:firstRowFirstColumn="0" w:firstRowLastColumn="0" w:lastRowFirstColumn="0" w:lastRowLastColumn="0"/>
              <w:rPr>
                <w:rFonts w:cs="Arial"/>
                <w:szCs w:val="22"/>
                <w:lang w:eastAsia="en-AU"/>
              </w:rPr>
            </w:pPr>
            <w:r w:rsidRPr="0049459B">
              <w:rPr>
                <w:rFonts w:cs="Arial"/>
                <w:szCs w:val="22"/>
                <w:lang w:eastAsia="en-AU"/>
              </w:rPr>
              <w:t xml:space="preserve">signed </w:t>
            </w:r>
            <w:r>
              <w:rPr>
                <w:rFonts w:cs="Arial"/>
                <w:szCs w:val="22"/>
                <w:lang w:eastAsia="en-AU"/>
              </w:rPr>
              <w:t>final hearing</w:t>
            </w:r>
            <w:r w:rsidRPr="0049459B">
              <w:rPr>
                <w:rFonts w:cs="Arial"/>
                <w:szCs w:val="22"/>
                <w:lang w:eastAsia="en-AU"/>
              </w:rPr>
              <w:t xml:space="preserve"> decisions </w:t>
            </w:r>
          </w:p>
          <w:p w14:paraId="241BD326" w14:textId="03BBFC92" w:rsidR="005F5F35" w:rsidRPr="0049459B" w:rsidRDefault="008974D0" w:rsidP="00214132">
            <w:pPr>
              <w:numPr>
                <w:ilvl w:val="0"/>
                <w:numId w:val="42"/>
              </w:numPr>
              <w:spacing w:before="60" w:line="240" w:lineRule="auto"/>
              <w:cnfStyle w:val="000000000000" w:firstRow="0" w:lastRow="0" w:firstColumn="0" w:lastColumn="0" w:oddVBand="0" w:evenVBand="0" w:oddHBand="0" w:evenHBand="0" w:firstRowFirstColumn="0" w:firstRowLastColumn="0" w:lastRowFirstColumn="0" w:lastRowLastColumn="0"/>
              <w:rPr>
                <w:rFonts w:cs="Arial"/>
                <w:szCs w:val="22"/>
                <w:lang w:eastAsia="en-AU"/>
              </w:rPr>
            </w:pPr>
            <w:r>
              <w:rPr>
                <w:rFonts w:cs="Arial"/>
                <w:szCs w:val="22"/>
                <w:lang w:eastAsia="en-AU"/>
              </w:rPr>
              <w:t xml:space="preserve">signed </w:t>
            </w:r>
            <w:r w:rsidR="005F5F35">
              <w:rPr>
                <w:rFonts w:cs="Arial"/>
                <w:szCs w:val="22"/>
                <w:lang w:eastAsia="en-AU"/>
              </w:rPr>
              <w:t>i</w:t>
            </w:r>
            <w:r w:rsidR="005F5F35" w:rsidRPr="0049459B">
              <w:rPr>
                <w:rFonts w:cs="Arial"/>
                <w:szCs w:val="22"/>
                <w:lang w:eastAsia="en-AU"/>
              </w:rPr>
              <w:t xml:space="preserve">nterim </w:t>
            </w:r>
            <w:r w:rsidR="005F5F35">
              <w:rPr>
                <w:rFonts w:cs="Arial"/>
                <w:szCs w:val="22"/>
                <w:lang w:eastAsia="en-AU"/>
              </w:rPr>
              <w:t>o</w:t>
            </w:r>
            <w:r w:rsidR="005F5F35" w:rsidRPr="0049459B">
              <w:rPr>
                <w:rFonts w:cs="Arial"/>
                <w:szCs w:val="22"/>
                <w:lang w:eastAsia="en-AU"/>
              </w:rPr>
              <w:t>rders/</w:t>
            </w:r>
            <w:r w:rsidR="005F5F35">
              <w:rPr>
                <w:rFonts w:cs="Arial"/>
                <w:szCs w:val="22"/>
                <w:lang w:eastAsia="en-AU"/>
              </w:rPr>
              <w:t>i</w:t>
            </w:r>
            <w:r w:rsidR="005F5F35" w:rsidRPr="0049459B">
              <w:rPr>
                <w:rFonts w:cs="Arial"/>
                <w:szCs w:val="22"/>
                <w:lang w:eastAsia="en-AU"/>
              </w:rPr>
              <w:t xml:space="preserve">nterlocutory </w:t>
            </w:r>
            <w:r w:rsidR="005F5F35">
              <w:rPr>
                <w:rFonts w:cs="Arial"/>
                <w:szCs w:val="22"/>
                <w:lang w:eastAsia="en-AU"/>
              </w:rPr>
              <w:t>m</w:t>
            </w:r>
            <w:r w:rsidR="005F5F35" w:rsidRPr="0049459B">
              <w:rPr>
                <w:rFonts w:cs="Arial"/>
                <w:szCs w:val="22"/>
                <w:lang w:eastAsia="en-AU"/>
              </w:rPr>
              <w:t>atters</w:t>
            </w:r>
            <w:r w:rsidR="005F5F35">
              <w:rPr>
                <w:rFonts w:cs="Arial"/>
                <w:szCs w:val="22"/>
                <w:lang w:eastAsia="en-AU"/>
              </w:rPr>
              <w:t xml:space="preserve"> and decisions</w:t>
            </w:r>
          </w:p>
          <w:p w14:paraId="5A802B00" w14:textId="77777777" w:rsidR="005F5F35" w:rsidRDefault="005F5F35" w:rsidP="00214132">
            <w:pPr>
              <w:numPr>
                <w:ilvl w:val="0"/>
                <w:numId w:val="42"/>
              </w:numPr>
              <w:spacing w:before="60" w:line="240" w:lineRule="auto"/>
              <w:cnfStyle w:val="000000000000" w:firstRow="0" w:lastRow="0" w:firstColumn="0" w:lastColumn="0" w:oddVBand="0" w:evenVBand="0" w:oddHBand="0" w:evenHBand="0" w:firstRowFirstColumn="0" w:firstRowLastColumn="0" w:lastRowFirstColumn="0" w:lastRowLastColumn="0"/>
              <w:rPr>
                <w:rFonts w:cs="Arial"/>
                <w:szCs w:val="22"/>
                <w:lang w:eastAsia="en-AU"/>
              </w:rPr>
            </w:pPr>
            <w:r>
              <w:rPr>
                <w:rFonts w:cs="Arial"/>
                <w:szCs w:val="22"/>
                <w:lang w:eastAsia="en-AU"/>
              </w:rPr>
              <w:t>complaints case files</w:t>
            </w:r>
          </w:p>
          <w:p w14:paraId="01FE82CF" w14:textId="66FF65B5" w:rsidR="005F5F35" w:rsidRPr="00CB5D3E" w:rsidRDefault="005F5F35" w:rsidP="000D1C2B">
            <w:pPr>
              <w:pStyle w:val="Tabletext"/>
              <w:numPr>
                <w:ilvl w:val="0"/>
                <w:numId w:val="42"/>
              </w:numPr>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3B02E8">
              <w:rPr>
                <w:rFonts w:cs="Arial"/>
                <w:sz w:val="22"/>
                <w:szCs w:val="22"/>
                <w:lang w:eastAsia="en-AU"/>
              </w:rPr>
              <w:t>transcripts (</w:t>
            </w:r>
            <w:r w:rsidR="008974D0">
              <w:rPr>
                <w:rFonts w:cs="Arial"/>
                <w:sz w:val="22"/>
                <w:szCs w:val="22"/>
                <w:lang w:eastAsia="en-AU"/>
              </w:rPr>
              <w:t>i</w:t>
            </w:r>
            <w:r w:rsidRPr="003B02E8">
              <w:rPr>
                <w:rFonts w:cs="Arial"/>
                <w:sz w:val="22"/>
                <w:szCs w:val="22"/>
                <w:lang w:eastAsia="en-AU"/>
              </w:rPr>
              <w:t>ncludes master, transcribed and untranscribed).</w:t>
            </w:r>
          </w:p>
        </w:tc>
        <w:tc>
          <w:tcPr>
            <w:tcW w:w="703" w:type="pct"/>
          </w:tcPr>
          <w:p w14:paraId="1BECF094" w14:textId="77777777" w:rsidR="005F5F35" w:rsidRPr="00CB5D3E" w:rsidRDefault="005F5F35" w:rsidP="00C613C3">
            <w:pPr>
              <w:pStyle w:val="Table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Temporary</w:t>
            </w:r>
          </w:p>
        </w:tc>
        <w:tc>
          <w:tcPr>
            <w:tcW w:w="1018" w:type="pct"/>
          </w:tcPr>
          <w:p w14:paraId="6BD62C24" w14:textId="6C3B5DA5" w:rsidR="005F5F35" w:rsidRPr="00CB5D3E" w:rsidRDefault="005F5F35"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EE50E0">
              <w:rPr>
                <w:rFonts w:cs="Arial"/>
                <w:sz w:val="22"/>
                <w:szCs w:val="22"/>
              </w:rPr>
              <w:t xml:space="preserve">Retain for 12 years after </w:t>
            </w:r>
            <w:r>
              <w:rPr>
                <w:rFonts w:cs="Arial"/>
                <w:sz w:val="22"/>
                <w:szCs w:val="22"/>
              </w:rPr>
              <w:t>business</w:t>
            </w:r>
            <w:r w:rsidRPr="00EE50E0">
              <w:rPr>
                <w:rFonts w:cs="Arial"/>
                <w:sz w:val="22"/>
                <w:szCs w:val="22"/>
              </w:rPr>
              <w:t xml:space="preserve"> action</w:t>
            </w:r>
            <w:r>
              <w:rPr>
                <w:rFonts w:cs="Arial"/>
                <w:sz w:val="22"/>
                <w:szCs w:val="22"/>
              </w:rPr>
              <w:t xml:space="preserve"> completed</w:t>
            </w:r>
            <w:r w:rsidRPr="00EE50E0">
              <w:rPr>
                <w:rFonts w:cs="Arial"/>
                <w:sz w:val="22"/>
                <w:szCs w:val="22"/>
              </w:rPr>
              <w:t xml:space="preserve"> and finalisation of all appeal processes</w:t>
            </w:r>
            <w:r>
              <w:rPr>
                <w:rFonts w:cs="Arial"/>
                <w:sz w:val="22"/>
                <w:szCs w:val="22"/>
              </w:rPr>
              <w:t>.</w:t>
            </w:r>
          </w:p>
        </w:tc>
      </w:tr>
      <w:tr w:rsidR="005F5F35" w:rsidRPr="00CB5D3E" w14:paraId="57A18D19" w14:textId="77777777" w:rsidTr="007E0566">
        <w:tblPrEx>
          <w:tblCellMar>
            <w:top w:w="57" w:type="dxa"/>
            <w:left w:w="119" w:type="dxa"/>
            <w:right w:w="119" w:type="dxa"/>
          </w:tblCellMar>
        </w:tblPrEx>
        <w:trPr>
          <w:trHeight w:val="378"/>
        </w:trPr>
        <w:tc>
          <w:tcPr>
            <w:cnfStyle w:val="001000000000" w:firstRow="0" w:lastRow="0" w:firstColumn="1" w:lastColumn="0" w:oddVBand="0" w:evenVBand="0" w:oddHBand="0" w:evenHBand="0" w:firstRowFirstColumn="0" w:firstRowLastColumn="0" w:lastRowFirstColumn="0" w:lastRowLastColumn="0"/>
            <w:tcW w:w="401" w:type="pct"/>
            <w:shd w:val="clear" w:color="auto" w:fill="auto"/>
          </w:tcPr>
          <w:p w14:paraId="4715D399" w14:textId="6FD3D126" w:rsidR="005F5F35" w:rsidRPr="00CB5D3E" w:rsidRDefault="005F5F35" w:rsidP="00C613C3">
            <w:pPr>
              <w:pStyle w:val="Tabletext"/>
              <w:spacing w:before="60" w:after="60" w:line="240" w:lineRule="auto"/>
              <w:rPr>
                <w:sz w:val="22"/>
                <w:szCs w:val="22"/>
              </w:rPr>
            </w:pPr>
            <w:r>
              <w:rPr>
                <w:sz w:val="22"/>
                <w:szCs w:val="22"/>
              </w:rPr>
              <w:t>1.11</w:t>
            </w:r>
          </w:p>
        </w:tc>
        <w:tc>
          <w:tcPr>
            <w:tcW w:w="4599" w:type="pct"/>
            <w:gridSpan w:val="3"/>
          </w:tcPr>
          <w:p w14:paraId="2B63770A" w14:textId="77777777" w:rsidR="005F5F35" w:rsidRPr="00471398" w:rsidRDefault="005F5F35"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b/>
                <w:sz w:val="22"/>
                <w:szCs w:val="28"/>
              </w:rPr>
            </w:pPr>
            <w:r w:rsidRPr="00471398">
              <w:rPr>
                <w:b/>
                <w:sz w:val="22"/>
                <w:szCs w:val="28"/>
              </w:rPr>
              <w:t>RETAIL SHOP LEASE</w:t>
            </w:r>
          </w:p>
          <w:p w14:paraId="21DA8809" w14:textId="77777777" w:rsidR="005F5F35" w:rsidRPr="007E0566" w:rsidRDefault="005F5F35"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i/>
                <w:sz w:val="22"/>
                <w:szCs w:val="22"/>
              </w:rPr>
            </w:pPr>
            <w:r w:rsidRPr="007E0566">
              <w:rPr>
                <w:i/>
                <w:sz w:val="22"/>
                <w:szCs w:val="22"/>
              </w:rPr>
              <w:t>The process of hearing disputes between a tenant and landlord about a retail shop lease.</w:t>
            </w:r>
          </w:p>
        </w:tc>
      </w:tr>
      <w:tr w:rsidR="005F5F35" w:rsidRPr="00CB5D3E" w14:paraId="6B03179B" w14:textId="77777777" w:rsidTr="00563DC3">
        <w:tblPrEx>
          <w:tblCellMar>
            <w:top w:w="57" w:type="dxa"/>
            <w:left w:w="119" w:type="dxa"/>
            <w:right w:w="119" w:type="dxa"/>
          </w:tblCellMar>
        </w:tblPrEx>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pct"/>
            <w:shd w:val="clear" w:color="auto" w:fill="auto"/>
          </w:tcPr>
          <w:p w14:paraId="6BAECB06" w14:textId="55AED829" w:rsidR="005F5F35" w:rsidRPr="00CB5D3E" w:rsidRDefault="005F5F35" w:rsidP="00C613C3">
            <w:pPr>
              <w:pStyle w:val="Tabletext"/>
              <w:spacing w:before="60" w:after="60" w:line="240" w:lineRule="auto"/>
              <w:rPr>
                <w:sz w:val="22"/>
                <w:szCs w:val="22"/>
              </w:rPr>
            </w:pPr>
            <w:r>
              <w:rPr>
                <w:sz w:val="22"/>
                <w:szCs w:val="22"/>
              </w:rPr>
              <w:t>1.11.1</w:t>
            </w:r>
          </w:p>
        </w:tc>
        <w:tc>
          <w:tcPr>
            <w:tcW w:w="2878" w:type="pct"/>
          </w:tcPr>
          <w:p w14:paraId="2BAFA84E" w14:textId="77777777" w:rsidR="005F5F35" w:rsidRDefault="005F5F35" w:rsidP="00C613C3">
            <w:pPr>
              <w:pStyle w:val="Tabletext"/>
              <w:spacing w:before="60" w:after="60" w:line="240" w:lineRule="auto"/>
              <w:cnfStyle w:val="010000000000" w:firstRow="0" w:lastRow="1" w:firstColumn="0" w:lastColumn="0" w:oddVBand="0" w:evenVBand="0" w:oddHBand="0" w:evenHBand="0" w:firstRowFirstColumn="0" w:firstRowLastColumn="0" w:lastRowFirstColumn="0" w:lastRowLastColumn="0"/>
              <w:rPr>
                <w:b/>
                <w:i/>
                <w:sz w:val="22"/>
                <w:szCs w:val="22"/>
              </w:rPr>
            </w:pPr>
            <w:r w:rsidRPr="007E0566">
              <w:rPr>
                <w:b/>
                <w:i/>
                <w:sz w:val="22"/>
                <w:szCs w:val="22"/>
              </w:rPr>
              <w:t>Retail shop lease case files</w:t>
            </w:r>
          </w:p>
          <w:p w14:paraId="0CD88D62" w14:textId="77777777" w:rsidR="005F5F35" w:rsidRDefault="005F5F35" w:rsidP="00C613C3">
            <w:pPr>
              <w:pStyle w:val="Tabletext"/>
              <w:spacing w:before="60" w:after="60" w:line="240" w:lineRule="auto"/>
              <w:cnfStyle w:val="010000000000" w:firstRow="0" w:lastRow="1" w:firstColumn="0" w:lastColumn="0" w:oddVBand="0" w:evenVBand="0" w:oddHBand="0" w:evenHBand="0" w:firstRowFirstColumn="0" w:firstRowLastColumn="0" w:lastRowFirstColumn="0" w:lastRowLastColumn="0"/>
              <w:rPr>
                <w:sz w:val="22"/>
                <w:szCs w:val="22"/>
              </w:rPr>
            </w:pPr>
            <w:r>
              <w:rPr>
                <w:sz w:val="22"/>
                <w:szCs w:val="22"/>
              </w:rPr>
              <w:t>Case management records relating to hearings of disputes over retail shop leases.</w:t>
            </w:r>
          </w:p>
          <w:p w14:paraId="6AB4A24B" w14:textId="77777777" w:rsidR="005F5F35" w:rsidRDefault="005F5F35" w:rsidP="00C613C3">
            <w:pPr>
              <w:pStyle w:val="Tabletext"/>
              <w:spacing w:before="60" w:after="60" w:line="240" w:lineRule="auto"/>
              <w:cnfStyle w:val="010000000000" w:firstRow="0" w:lastRow="1" w:firstColumn="0" w:lastColumn="0" w:oddVBand="0" w:evenVBand="0" w:oddHBand="0" w:evenHBand="0" w:firstRowFirstColumn="0" w:firstRowLastColumn="0" w:lastRowFirstColumn="0" w:lastRowLastColumn="0"/>
              <w:rPr>
                <w:sz w:val="22"/>
                <w:szCs w:val="22"/>
              </w:rPr>
            </w:pPr>
            <w:r>
              <w:rPr>
                <w:sz w:val="22"/>
                <w:szCs w:val="22"/>
              </w:rPr>
              <w:t>Records may include, but are not limited to:</w:t>
            </w:r>
          </w:p>
          <w:p w14:paraId="2EC31234" w14:textId="77777777" w:rsidR="005F5F35" w:rsidRDefault="005F5F35" w:rsidP="00214132">
            <w:pPr>
              <w:numPr>
                <w:ilvl w:val="0"/>
                <w:numId w:val="43"/>
              </w:numPr>
              <w:spacing w:before="60" w:line="240" w:lineRule="auto"/>
              <w:cnfStyle w:val="010000000000" w:firstRow="0" w:lastRow="1" w:firstColumn="0" w:lastColumn="0" w:oddVBand="0" w:evenVBand="0" w:oddHBand="0" w:evenHBand="0" w:firstRowFirstColumn="0" w:firstRowLastColumn="0" w:lastRowFirstColumn="0" w:lastRowLastColumn="0"/>
              <w:rPr>
                <w:rFonts w:cs="Arial"/>
                <w:szCs w:val="22"/>
                <w:lang w:eastAsia="en-AU"/>
              </w:rPr>
            </w:pPr>
            <w:r w:rsidRPr="0049459B">
              <w:rPr>
                <w:rFonts w:cs="Arial"/>
                <w:szCs w:val="22"/>
                <w:lang w:eastAsia="en-AU"/>
              </w:rPr>
              <w:t xml:space="preserve">signed </w:t>
            </w:r>
            <w:r>
              <w:rPr>
                <w:rFonts w:cs="Arial"/>
                <w:szCs w:val="22"/>
                <w:lang w:eastAsia="en-AU"/>
              </w:rPr>
              <w:t>final hearing</w:t>
            </w:r>
            <w:r w:rsidRPr="0049459B">
              <w:rPr>
                <w:rFonts w:cs="Arial"/>
                <w:szCs w:val="22"/>
                <w:lang w:eastAsia="en-AU"/>
              </w:rPr>
              <w:t xml:space="preserve"> decisions </w:t>
            </w:r>
          </w:p>
          <w:p w14:paraId="0C9E3181" w14:textId="7A75C503" w:rsidR="005F5F35" w:rsidRPr="0049459B" w:rsidRDefault="008974D0" w:rsidP="00214132">
            <w:pPr>
              <w:numPr>
                <w:ilvl w:val="0"/>
                <w:numId w:val="43"/>
              </w:numPr>
              <w:spacing w:before="60" w:line="240" w:lineRule="auto"/>
              <w:cnfStyle w:val="010000000000" w:firstRow="0" w:lastRow="1" w:firstColumn="0" w:lastColumn="0" w:oddVBand="0" w:evenVBand="0" w:oddHBand="0" w:evenHBand="0" w:firstRowFirstColumn="0" w:firstRowLastColumn="0" w:lastRowFirstColumn="0" w:lastRowLastColumn="0"/>
              <w:rPr>
                <w:rFonts w:cs="Arial"/>
                <w:szCs w:val="22"/>
                <w:lang w:eastAsia="en-AU"/>
              </w:rPr>
            </w:pPr>
            <w:r>
              <w:rPr>
                <w:rFonts w:cs="Arial"/>
                <w:szCs w:val="22"/>
                <w:lang w:eastAsia="en-AU"/>
              </w:rPr>
              <w:t xml:space="preserve">signed </w:t>
            </w:r>
            <w:r w:rsidR="005F5F35">
              <w:rPr>
                <w:rFonts w:cs="Arial"/>
                <w:szCs w:val="22"/>
                <w:lang w:eastAsia="en-AU"/>
              </w:rPr>
              <w:t>i</w:t>
            </w:r>
            <w:r w:rsidR="005F5F35" w:rsidRPr="0049459B">
              <w:rPr>
                <w:rFonts w:cs="Arial"/>
                <w:szCs w:val="22"/>
                <w:lang w:eastAsia="en-AU"/>
              </w:rPr>
              <w:t xml:space="preserve">nterim </w:t>
            </w:r>
            <w:r w:rsidR="005F5F35">
              <w:rPr>
                <w:rFonts w:cs="Arial"/>
                <w:szCs w:val="22"/>
                <w:lang w:eastAsia="en-AU"/>
              </w:rPr>
              <w:t>o</w:t>
            </w:r>
            <w:r w:rsidR="005F5F35" w:rsidRPr="0049459B">
              <w:rPr>
                <w:rFonts w:cs="Arial"/>
                <w:szCs w:val="22"/>
                <w:lang w:eastAsia="en-AU"/>
              </w:rPr>
              <w:t>rders/</w:t>
            </w:r>
            <w:r w:rsidR="005F5F35">
              <w:rPr>
                <w:rFonts w:cs="Arial"/>
                <w:szCs w:val="22"/>
                <w:lang w:eastAsia="en-AU"/>
              </w:rPr>
              <w:t>i</w:t>
            </w:r>
            <w:r w:rsidR="005F5F35" w:rsidRPr="0049459B">
              <w:rPr>
                <w:rFonts w:cs="Arial"/>
                <w:szCs w:val="22"/>
                <w:lang w:eastAsia="en-AU"/>
              </w:rPr>
              <w:t xml:space="preserve">nterlocutory </w:t>
            </w:r>
            <w:r w:rsidR="005F5F35">
              <w:rPr>
                <w:rFonts w:cs="Arial"/>
                <w:szCs w:val="22"/>
                <w:lang w:eastAsia="en-AU"/>
              </w:rPr>
              <w:t>m</w:t>
            </w:r>
            <w:r w:rsidR="005F5F35" w:rsidRPr="0049459B">
              <w:rPr>
                <w:rFonts w:cs="Arial"/>
                <w:szCs w:val="22"/>
                <w:lang w:eastAsia="en-AU"/>
              </w:rPr>
              <w:t>atters</w:t>
            </w:r>
            <w:r w:rsidR="005F5F35">
              <w:rPr>
                <w:rFonts w:cs="Arial"/>
                <w:szCs w:val="22"/>
                <w:lang w:eastAsia="en-AU"/>
              </w:rPr>
              <w:t xml:space="preserve"> and decisions</w:t>
            </w:r>
          </w:p>
          <w:p w14:paraId="2BDDE8D2" w14:textId="77777777" w:rsidR="005F5F35" w:rsidRDefault="005F5F35" w:rsidP="00214132">
            <w:pPr>
              <w:numPr>
                <w:ilvl w:val="0"/>
                <w:numId w:val="43"/>
              </w:numPr>
              <w:spacing w:before="60" w:line="240" w:lineRule="auto"/>
              <w:cnfStyle w:val="010000000000" w:firstRow="0" w:lastRow="1" w:firstColumn="0" w:lastColumn="0" w:oddVBand="0" w:evenVBand="0" w:oddHBand="0" w:evenHBand="0" w:firstRowFirstColumn="0" w:firstRowLastColumn="0" w:lastRowFirstColumn="0" w:lastRowLastColumn="0"/>
              <w:rPr>
                <w:rFonts w:cs="Arial"/>
                <w:szCs w:val="22"/>
                <w:lang w:eastAsia="en-AU"/>
              </w:rPr>
            </w:pPr>
            <w:r>
              <w:rPr>
                <w:rFonts w:cs="Arial"/>
                <w:szCs w:val="22"/>
                <w:lang w:eastAsia="en-AU"/>
              </w:rPr>
              <w:t>complaints case files</w:t>
            </w:r>
          </w:p>
          <w:p w14:paraId="7B399AA6" w14:textId="6EEDD034" w:rsidR="005F5F35" w:rsidRPr="007E0566" w:rsidRDefault="005F5F35" w:rsidP="000D1C2B">
            <w:pPr>
              <w:pStyle w:val="Tabletext"/>
              <w:numPr>
                <w:ilvl w:val="0"/>
                <w:numId w:val="43"/>
              </w:numPr>
              <w:spacing w:before="60" w:after="60" w:line="240" w:lineRule="auto"/>
              <w:cnfStyle w:val="010000000000" w:firstRow="0" w:lastRow="1" w:firstColumn="0" w:lastColumn="0" w:oddVBand="0" w:evenVBand="0" w:oddHBand="0" w:evenHBand="0" w:firstRowFirstColumn="0" w:firstRowLastColumn="0" w:lastRowFirstColumn="0" w:lastRowLastColumn="0"/>
              <w:rPr>
                <w:sz w:val="22"/>
                <w:szCs w:val="22"/>
              </w:rPr>
            </w:pPr>
            <w:r w:rsidRPr="003B02E8">
              <w:rPr>
                <w:rFonts w:cs="Arial"/>
                <w:sz w:val="22"/>
                <w:szCs w:val="22"/>
                <w:lang w:eastAsia="en-AU"/>
              </w:rPr>
              <w:t>transcripts (</w:t>
            </w:r>
            <w:r w:rsidR="008974D0">
              <w:rPr>
                <w:rFonts w:cs="Arial"/>
                <w:sz w:val="22"/>
                <w:szCs w:val="22"/>
                <w:lang w:eastAsia="en-AU"/>
              </w:rPr>
              <w:t>i</w:t>
            </w:r>
            <w:r w:rsidRPr="003B02E8">
              <w:rPr>
                <w:rFonts w:cs="Arial"/>
                <w:sz w:val="22"/>
                <w:szCs w:val="22"/>
                <w:lang w:eastAsia="en-AU"/>
              </w:rPr>
              <w:t>ncludes master, transcribed and untranscribed).</w:t>
            </w:r>
          </w:p>
        </w:tc>
        <w:tc>
          <w:tcPr>
            <w:tcW w:w="703" w:type="pct"/>
          </w:tcPr>
          <w:p w14:paraId="6BEED4C1" w14:textId="77777777" w:rsidR="005F5F35" w:rsidRPr="00CB5D3E" w:rsidRDefault="005F5F35" w:rsidP="00C613C3">
            <w:pPr>
              <w:pStyle w:val="Tabletext"/>
              <w:spacing w:before="60" w:after="60" w:line="240" w:lineRule="auto"/>
              <w:jc w:val="center"/>
              <w:cnfStyle w:val="010000000000" w:firstRow="0" w:lastRow="1" w:firstColumn="0" w:lastColumn="0" w:oddVBand="0" w:evenVBand="0" w:oddHBand="0" w:evenHBand="0" w:firstRowFirstColumn="0" w:firstRowLastColumn="0" w:lastRowFirstColumn="0" w:lastRowLastColumn="0"/>
              <w:rPr>
                <w:sz w:val="22"/>
                <w:szCs w:val="22"/>
              </w:rPr>
            </w:pPr>
            <w:r>
              <w:rPr>
                <w:sz w:val="22"/>
                <w:szCs w:val="22"/>
              </w:rPr>
              <w:t>Temporary</w:t>
            </w:r>
          </w:p>
        </w:tc>
        <w:tc>
          <w:tcPr>
            <w:tcW w:w="1018" w:type="pct"/>
          </w:tcPr>
          <w:p w14:paraId="4464D318" w14:textId="38B70A78" w:rsidR="005F5F35" w:rsidRPr="00CB5D3E" w:rsidRDefault="005F5F35" w:rsidP="00C613C3">
            <w:pPr>
              <w:pStyle w:val="Tabletext"/>
              <w:spacing w:before="60" w:after="60" w:line="240" w:lineRule="auto"/>
              <w:cnfStyle w:val="010000000000" w:firstRow="0" w:lastRow="1" w:firstColumn="0" w:lastColumn="0" w:oddVBand="0" w:evenVBand="0" w:oddHBand="0" w:evenHBand="0" w:firstRowFirstColumn="0" w:firstRowLastColumn="0" w:lastRowFirstColumn="0" w:lastRowLastColumn="0"/>
              <w:rPr>
                <w:sz w:val="22"/>
                <w:szCs w:val="22"/>
              </w:rPr>
            </w:pPr>
            <w:r w:rsidRPr="00EE50E0">
              <w:rPr>
                <w:rFonts w:cs="Arial"/>
                <w:sz w:val="22"/>
                <w:szCs w:val="22"/>
              </w:rPr>
              <w:t xml:space="preserve">Retain for 12 years after </w:t>
            </w:r>
            <w:r>
              <w:rPr>
                <w:rFonts w:cs="Arial"/>
                <w:sz w:val="22"/>
                <w:szCs w:val="22"/>
              </w:rPr>
              <w:t>business</w:t>
            </w:r>
            <w:r w:rsidRPr="00EE50E0">
              <w:rPr>
                <w:rFonts w:cs="Arial"/>
                <w:sz w:val="22"/>
                <w:szCs w:val="22"/>
              </w:rPr>
              <w:t xml:space="preserve"> action</w:t>
            </w:r>
            <w:r>
              <w:rPr>
                <w:rFonts w:cs="Arial"/>
                <w:sz w:val="22"/>
                <w:szCs w:val="22"/>
              </w:rPr>
              <w:t xml:space="preserve"> completed</w:t>
            </w:r>
            <w:r w:rsidRPr="00EE50E0">
              <w:rPr>
                <w:rFonts w:cs="Arial"/>
                <w:sz w:val="22"/>
                <w:szCs w:val="22"/>
              </w:rPr>
              <w:t xml:space="preserve"> and finalisation of all appeal processes</w:t>
            </w:r>
            <w:r>
              <w:rPr>
                <w:rFonts w:cs="Arial"/>
                <w:sz w:val="22"/>
                <w:szCs w:val="22"/>
              </w:rPr>
              <w:t>.</w:t>
            </w:r>
          </w:p>
        </w:tc>
      </w:tr>
    </w:tbl>
    <w:p w14:paraId="74866DAF" w14:textId="7E00DD16" w:rsidR="00D26A3B" w:rsidRPr="0077112B" w:rsidRDefault="006A7BB9" w:rsidP="00C613C3">
      <w:pPr>
        <w:pStyle w:val="Heading1"/>
        <w:spacing w:before="60" w:after="60" w:line="240" w:lineRule="auto"/>
        <w:rPr>
          <w:rStyle w:val="Heading2Char"/>
          <w:b/>
          <w:color w:val="auto"/>
          <w:sz w:val="36"/>
          <w:szCs w:val="36"/>
        </w:rPr>
      </w:pPr>
      <w:r w:rsidRPr="004977CE">
        <w:br w:type="page"/>
      </w:r>
      <w:bookmarkStart w:id="30" w:name="_Toc456614291"/>
      <w:r w:rsidR="005B049B">
        <w:rPr>
          <w:rStyle w:val="Heading2Char"/>
          <w:b/>
          <w:color w:val="auto"/>
          <w:sz w:val="36"/>
          <w:szCs w:val="36"/>
        </w:rPr>
        <w:lastRenderedPageBreak/>
        <w:t>2</w:t>
      </w:r>
      <w:r w:rsidR="00D26A3B" w:rsidRPr="0077112B">
        <w:rPr>
          <w:rStyle w:val="Heading2Char"/>
          <w:b/>
          <w:color w:val="auto"/>
          <w:sz w:val="36"/>
          <w:szCs w:val="36"/>
        </w:rPr>
        <w:t>. QCAT MANAGEMENT</w:t>
      </w:r>
      <w:bookmarkEnd w:id="30"/>
    </w:p>
    <w:p w14:paraId="642AC01E" w14:textId="77777777" w:rsidR="00D26A3B" w:rsidRDefault="00D26A3B" w:rsidP="00EB7920">
      <w:pPr>
        <w:spacing w:before="120" w:after="120" w:line="240" w:lineRule="auto"/>
        <w:rPr>
          <w:i/>
        </w:rPr>
      </w:pPr>
      <w:r>
        <w:rPr>
          <w:i/>
        </w:rPr>
        <w:t>The function of managing the Queensland Civil and Administrative Tribunal (QCAT).</w:t>
      </w:r>
    </w:p>
    <w:p w14:paraId="57192E51" w14:textId="77777777" w:rsidR="00D26A3B" w:rsidRPr="004977CE" w:rsidRDefault="00D26A3B" w:rsidP="00C613C3">
      <w:pPr>
        <w:spacing w:before="60" w:line="240" w:lineRule="auto"/>
        <w:rPr>
          <w:i/>
        </w:rPr>
      </w:pPr>
    </w:p>
    <w:tbl>
      <w:tblPr>
        <w:tblStyle w:val="Table-LowInk"/>
        <w:tblW w:w="5000" w:type="pct"/>
        <w:tblLook w:val="01E0" w:firstRow="1" w:lastRow="1" w:firstColumn="1" w:lastColumn="1" w:noHBand="0" w:noVBand="0"/>
      </w:tblPr>
      <w:tblGrid>
        <w:gridCol w:w="1267"/>
        <w:gridCol w:w="8773"/>
        <w:gridCol w:w="1991"/>
        <w:gridCol w:w="3095"/>
      </w:tblGrid>
      <w:tr w:rsidR="00D26A3B" w:rsidRPr="004977CE" w14:paraId="1C8D36CC" w14:textId="77777777" w:rsidTr="007B5A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 w:type="pct"/>
          </w:tcPr>
          <w:p w14:paraId="7C12B715" w14:textId="77777777" w:rsidR="00D26A3B" w:rsidRPr="00BD4C41" w:rsidRDefault="00D26A3B" w:rsidP="00C613C3">
            <w:pPr>
              <w:pStyle w:val="Tabletext"/>
              <w:spacing w:before="60" w:after="60" w:line="240" w:lineRule="auto"/>
              <w:jc w:val="center"/>
            </w:pPr>
            <w:r w:rsidRPr="00BD4C41">
              <w:t>Reference</w:t>
            </w:r>
          </w:p>
        </w:tc>
        <w:tc>
          <w:tcPr>
            <w:tcW w:w="2900" w:type="pct"/>
          </w:tcPr>
          <w:p w14:paraId="7506A2C7" w14:textId="77777777" w:rsidR="00D26A3B" w:rsidRPr="00BD4C41" w:rsidRDefault="00D26A3B" w:rsidP="00C613C3">
            <w:pPr>
              <w:pStyle w:val="Tabletext"/>
              <w:spacing w:before="60" w:after="60" w:line="240" w:lineRule="auto"/>
              <w:jc w:val="center"/>
              <w:cnfStyle w:val="100000000000" w:firstRow="1" w:lastRow="0" w:firstColumn="0" w:lastColumn="0" w:oddVBand="0" w:evenVBand="0" w:oddHBand="0" w:evenHBand="0" w:firstRowFirstColumn="0" w:firstRowLastColumn="0" w:lastRowFirstColumn="0" w:lastRowLastColumn="0"/>
            </w:pPr>
            <w:r w:rsidRPr="00BD4C41">
              <w:t>Description of records</w:t>
            </w:r>
          </w:p>
        </w:tc>
        <w:tc>
          <w:tcPr>
            <w:tcW w:w="658" w:type="pct"/>
          </w:tcPr>
          <w:p w14:paraId="1A9F99C4" w14:textId="77777777" w:rsidR="00D26A3B" w:rsidRPr="00BD4C41" w:rsidRDefault="00D26A3B" w:rsidP="00C613C3">
            <w:pPr>
              <w:pStyle w:val="Tabletext"/>
              <w:spacing w:before="60" w:after="60" w:line="240" w:lineRule="auto"/>
              <w:jc w:val="center"/>
              <w:cnfStyle w:val="100000000000" w:firstRow="1" w:lastRow="0" w:firstColumn="0" w:lastColumn="0" w:oddVBand="0" w:evenVBand="0" w:oddHBand="0" w:evenHBand="0" w:firstRowFirstColumn="0" w:firstRowLastColumn="0" w:lastRowFirstColumn="0" w:lastRowLastColumn="0"/>
            </w:pPr>
            <w:r w:rsidRPr="00BD4C41">
              <w:t>Status</w:t>
            </w:r>
          </w:p>
        </w:tc>
        <w:tc>
          <w:tcPr>
            <w:tcW w:w="1023" w:type="pct"/>
          </w:tcPr>
          <w:p w14:paraId="77DAB636" w14:textId="77777777" w:rsidR="00D26A3B" w:rsidRPr="00BD4C41" w:rsidRDefault="00D26A3B" w:rsidP="00C613C3">
            <w:pPr>
              <w:pStyle w:val="Tabletext"/>
              <w:spacing w:before="60" w:after="60" w:line="240" w:lineRule="auto"/>
              <w:jc w:val="center"/>
              <w:cnfStyle w:val="100000000000" w:firstRow="1" w:lastRow="0" w:firstColumn="0" w:lastColumn="0" w:oddVBand="0" w:evenVBand="0" w:oddHBand="0" w:evenHBand="0" w:firstRowFirstColumn="0" w:firstRowLastColumn="0" w:lastRowFirstColumn="0" w:lastRowLastColumn="0"/>
            </w:pPr>
            <w:r w:rsidRPr="00BD4C41">
              <w:t>Disposal action</w:t>
            </w:r>
          </w:p>
        </w:tc>
      </w:tr>
      <w:tr w:rsidR="00D26A3B" w:rsidRPr="00CB5D3E" w14:paraId="69B56CAE" w14:textId="77777777" w:rsidTr="007B5A8A">
        <w:tblPrEx>
          <w:tblCellMar>
            <w:top w:w="57" w:type="dxa"/>
            <w:left w:w="119" w:type="dxa"/>
            <w:right w:w="119" w:type="dxa"/>
          </w:tblCellMar>
        </w:tblPrEx>
        <w:tc>
          <w:tcPr>
            <w:cnfStyle w:val="001000000000" w:firstRow="0" w:lastRow="0" w:firstColumn="1" w:lastColumn="0" w:oddVBand="0" w:evenVBand="0" w:oddHBand="0" w:evenHBand="0" w:firstRowFirstColumn="0" w:firstRowLastColumn="0" w:lastRowFirstColumn="0" w:lastRowLastColumn="0"/>
            <w:tcW w:w="419" w:type="pct"/>
            <w:tcBorders>
              <w:top w:val="single" w:sz="18" w:space="0" w:color="C0C0C0"/>
            </w:tcBorders>
            <w:shd w:val="clear" w:color="auto" w:fill="auto"/>
          </w:tcPr>
          <w:p w14:paraId="707BE947" w14:textId="1FA07432" w:rsidR="00D26A3B" w:rsidRPr="00CB5D3E" w:rsidRDefault="005B049B" w:rsidP="00C613C3">
            <w:pPr>
              <w:pStyle w:val="Tabletext"/>
              <w:spacing w:before="60" w:after="60" w:line="240" w:lineRule="auto"/>
              <w:rPr>
                <w:sz w:val="22"/>
                <w:szCs w:val="22"/>
              </w:rPr>
            </w:pPr>
            <w:r>
              <w:rPr>
                <w:sz w:val="22"/>
                <w:szCs w:val="22"/>
              </w:rPr>
              <w:t>2</w:t>
            </w:r>
            <w:r w:rsidR="00D26A3B">
              <w:rPr>
                <w:sz w:val="22"/>
                <w:szCs w:val="22"/>
              </w:rPr>
              <w:t>.1</w:t>
            </w:r>
          </w:p>
        </w:tc>
        <w:tc>
          <w:tcPr>
            <w:tcW w:w="4581" w:type="pct"/>
            <w:gridSpan w:val="3"/>
          </w:tcPr>
          <w:p w14:paraId="5CB13955" w14:textId="77777777" w:rsidR="00D26A3B" w:rsidRDefault="00D26A3B" w:rsidP="00C613C3">
            <w:pPr>
              <w:spacing w:before="60" w:line="240" w:lineRule="auto"/>
              <w:cnfStyle w:val="000000000000" w:firstRow="0" w:lastRow="0" w:firstColumn="0" w:lastColumn="0" w:oddVBand="0" w:evenVBand="0" w:oddHBand="0" w:evenHBand="0" w:firstRowFirstColumn="0" w:firstRowLastColumn="0" w:lastRowFirstColumn="0" w:lastRowLastColumn="0"/>
              <w:rPr>
                <w:b/>
                <w:szCs w:val="22"/>
              </w:rPr>
            </w:pPr>
            <w:r>
              <w:rPr>
                <w:b/>
                <w:szCs w:val="22"/>
              </w:rPr>
              <w:t>QUEENSLAND CIVIL AND ADMINISTRATIVE TRIBUNAL (QCAT) MANAGEMENT</w:t>
            </w:r>
          </w:p>
          <w:p w14:paraId="15F16B7E" w14:textId="77777777" w:rsidR="00D26A3B" w:rsidRPr="00D26A3B" w:rsidRDefault="00D26A3B" w:rsidP="00C613C3">
            <w:pPr>
              <w:spacing w:before="60" w:line="240" w:lineRule="auto"/>
              <w:cnfStyle w:val="000000000000" w:firstRow="0" w:lastRow="0" w:firstColumn="0" w:lastColumn="0" w:oddVBand="0" w:evenVBand="0" w:oddHBand="0" w:evenHBand="0" w:firstRowFirstColumn="0" w:firstRowLastColumn="0" w:lastRowFirstColumn="0" w:lastRowLastColumn="0"/>
              <w:rPr>
                <w:i/>
                <w:szCs w:val="22"/>
              </w:rPr>
            </w:pPr>
            <w:r>
              <w:rPr>
                <w:i/>
                <w:szCs w:val="22"/>
              </w:rPr>
              <w:t>The activity of managing QCAT.</w:t>
            </w:r>
          </w:p>
        </w:tc>
      </w:tr>
      <w:tr w:rsidR="009E57F4" w:rsidRPr="00CB5D3E" w14:paraId="255B05FF" w14:textId="77777777" w:rsidTr="007B5A8A">
        <w:tblPrEx>
          <w:tblCellMar>
            <w:top w:w="57" w:type="dxa"/>
            <w:left w:w="119" w:type="dxa"/>
            <w:right w:w="119" w:type="dxa"/>
          </w:tblCellMar>
        </w:tblPrEx>
        <w:tc>
          <w:tcPr>
            <w:cnfStyle w:val="001000000000" w:firstRow="0" w:lastRow="0" w:firstColumn="1" w:lastColumn="0" w:oddVBand="0" w:evenVBand="0" w:oddHBand="0" w:evenHBand="0" w:firstRowFirstColumn="0" w:firstRowLastColumn="0" w:lastRowFirstColumn="0" w:lastRowLastColumn="0"/>
            <w:tcW w:w="419" w:type="pct"/>
            <w:shd w:val="clear" w:color="auto" w:fill="auto"/>
          </w:tcPr>
          <w:p w14:paraId="22DB3724" w14:textId="69966081" w:rsidR="009E57F4" w:rsidRDefault="005B049B" w:rsidP="00C613C3">
            <w:pPr>
              <w:pStyle w:val="Tabletext"/>
              <w:spacing w:before="60" w:after="60" w:line="240" w:lineRule="auto"/>
              <w:rPr>
                <w:sz w:val="22"/>
                <w:szCs w:val="22"/>
              </w:rPr>
            </w:pPr>
            <w:r>
              <w:rPr>
                <w:sz w:val="22"/>
                <w:szCs w:val="22"/>
              </w:rPr>
              <w:t>2</w:t>
            </w:r>
            <w:r w:rsidR="009E57F4">
              <w:rPr>
                <w:sz w:val="22"/>
                <w:szCs w:val="22"/>
              </w:rPr>
              <w:t>.1.1</w:t>
            </w:r>
          </w:p>
        </w:tc>
        <w:tc>
          <w:tcPr>
            <w:tcW w:w="2900" w:type="pct"/>
          </w:tcPr>
          <w:p w14:paraId="4EDF16A0" w14:textId="77777777" w:rsidR="009E57F4" w:rsidRDefault="009E57F4"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b/>
                <w:i/>
                <w:sz w:val="22"/>
                <w:szCs w:val="22"/>
              </w:rPr>
            </w:pPr>
            <w:r>
              <w:rPr>
                <w:b/>
                <w:i/>
                <w:sz w:val="22"/>
                <w:szCs w:val="22"/>
              </w:rPr>
              <w:t>Practice directions</w:t>
            </w:r>
          </w:p>
          <w:p w14:paraId="5F73DAF4" w14:textId="77777777" w:rsidR="009E57F4" w:rsidRDefault="009E57F4"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Records relating to Practice Directions issued by the President on how to conduct QCAT proceedings.</w:t>
            </w:r>
          </w:p>
          <w:p w14:paraId="7AA3B2E1" w14:textId="77777777" w:rsidR="009E57F4" w:rsidRDefault="009E57F4"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Records may include, but are not limited to:</w:t>
            </w:r>
          </w:p>
          <w:p w14:paraId="751265AF" w14:textId="77777777" w:rsidR="009E57F4" w:rsidRDefault="009E57F4" w:rsidP="00C613C3">
            <w:pPr>
              <w:pStyle w:val="Tabletext"/>
              <w:numPr>
                <w:ilvl w:val="0"/>
                <w:numId w:val="32"/>
              </w:numPr>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superseded practice directions</w:t>
            </w:r>
          </w:p>
          <w:p w14:paraId="5DD3E5D4" w14:textId="77777777" w:rsidR="009E57F4" w:rsidRPr="00D26A3B" w:rsidRDefault="009E57F4" w:rsidP="00C613C3">
            <w:pPr>
              <w:pStyle w:val="Tabletext"/>
              <w:numPr>
                <w:ilvl w:val="0"/>
                <w:numId w:val="32"/>
              </w:numPr>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file notes.</w:t>
            </w:r>
          </w:p>
        </w:tc>
        <w:tc>
          <w:tcPr>
            <w:tcW w:w="658" w:type="pct"/>
          </w:tcPr>
          <w:p w14:paraId="2524EE94" w14:textId="77777777" w:rsidR="009E57F4" w:rsidRDefault="009E57F4" w:rsidP="00C613C3">
            <w:pPr>
              <w:pStyle w:val="Table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Permanent</w:t>
            </w:r>
          </w:p>
        </w:tc>
        <w:tc>
          <w:tcPr>
            <w:tcW w:w="1023" w:type="pct"/>
          </w:tcPr>
          <w:p w14:paraId="14E16136" w14:textId="77777777" w:rsidR="009E57F4" w:rsidRDefault="009E57F4"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Retain permanently.</w:t>
            </w:r>
          </w:p>
        </w:tc>
      </w:tr>
      <w:tr w:rsidR="009E57F4" w:rsidRPr="00CB5D3E" w14:paraId="3DA394F9" w14:textId="77777777" w:rsidTr="007B5A8A">
        <w:tblPrEx>
          <w:tblCellMar>
            <w:top w:w="57" w:type="dxa"/>
            <w:left w:w="119" w:type="dxa"/>
            <w:right w:w="119" w:type="dxa"/>
          </w:tblCellMar>
        </w:tblPrEx>
        <w:tc>
          <w:tcPr>
            <w:cnfStyle w:val="001000000000" w:firstRow="0" w:lastRow="0" w:firstColumn="1" w:lastColumn="0" w:oddVBand="0" w:evenVBand="0" w:oddHBand="0" w:evenHBand="0" w:firstRowFirstColumn="0" w:firstRowLastColumn="0" w:lastRowFirstColumn="0" w:lastRowLastColumn="0"/>
            <w:tcW w:w="419" w:type="pct"/>
            <w:shd w:val="clear" w:color="auto" w:fill="auto"/>
          </w:tcPr>
          <w:p w14:paraId="3001D603" w14:textId="4901137F" w:rsidR="009E57F4" w:rsidRDefault="005B049B" w:rsidP="00C613C3">
            <w:pPr>
              <w:pStyle w:val="Tabletext"/>
              <w:spacing w:before="60" w:after="60" w:line="240" w:lineRule="auto"/>
              <w:rPr>
                <w:sz w:val="22"/>
                <w:szCs w:val="22"/>
              </w:rPr>
            </w:pPr>
            <w:r>
              <w:rPr>
                <w:sz w:val="22"/>
                <w:szCs w:val="22"/>
              </w:rPr>
              <w:t>2</w:t>
            </w:r>
            <w:r w:rsidR="009E57F4">
              <w:rPr>
                <w:sz w:val="22"/>
                <w:szCs w:val="22"/>
              </w:rPr>
              <w:t>.1.2</w:t>
            </w:r>
          </w:p>
        </w:tc>
        <w:tc>
          <w:tcPr>
            <w:tcW w:w="2900" w:type="pct"/>
          </w:tcPr>
          <w:p w14:paraId="517C0AC7" w14:textId="1C81B6C2" w:rsidR="009E57F4" w:rsidRDefault="009E57F4"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b/>
                <w:i/>
                <w:sz w:val="22"/>
                <w:szCs w:val="22"/>
              </w:rPr>
            </w:pPr>
            <w:r>
              <w:rPr>
                <w:b/>
                <w:i/>
                <w:sz w:val="22"/>
                <w:szCs w:val="22"/>
              </w:rPr>
              <w:t xml:space="preserve">Rules </w:t>
            </w:r>
            <w:r w:rsidR="005B7ABC">
              <w:rPr>
                <w:b/>
                <w:i/>
                <w:sz w:val="22"/>
                <w:szCs w:val="22"/>
              </w:rPr>
              <w:t>c</w:t>
            </w:r>
            <w:r>
              <w:rPr>
                <w:b/>
                <w:i/>
                <w:sz w:val="22"/>
                <w:szCs w:val="22"/>
              </w:rPr>
              <w:t>ommittee</w:t>
            </w:r>
          </w:p>
          <w:p w14:paraId="1EB65E65" w14:textId="77777777" w:rsidR="009E57F4" w:rsidRDefault="009E57F4"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Records relating to the functions undertaken by the Rules Committee of the Tribunal.</w:t>
            </w:r>
          </w:p>
          <w:p w14:paraId="555003F5" w14:textId="77777777" w:rsidR="009E57F4" w:rsidRDefault="009E57F4"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Records may include, but are not limited to:</w:t>
            </w:r>
          </w:p>
          <w:p w14:paraId="79B4C1D7" w14:textId="77777777" w:rsidR="009E57F4" w:rsidRDefault="009E57F4" w:rsidP="00C613C3">
            <w:pPr>
              <w:pStyle w:val="Tabletext"/>
              <w:numPr>
                <w:ilvl w:val="0"/>
                <w:numId w:val="33"/>
              </w:numPr>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agenda and minutes</w:t>
            </w:r>
          </w:p>
          <w:p w14:paraId="267D4E44" w14:textId="77777777" w:rsidR="009E57F4" w:rsidRPr="00D26A3B" w:rsidRDefault="009E57F4" w:rsidP="00C613C3">
            <w:pPr>
              <w:pStyle w:val="Tabletext"/>
              <w:numPr>
                <w:ilvl w:val="0"/>
                <w:numId w:val="33"/>
              </w:numPr>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file notes.</w:t>
            </w:r>
          </w:p>
        </w:tc>
        <w:tc>
          <w:tcPr>
            <w:tcW w:w="658" w:type="pct"/>
          </w:tcPr>
          <w:p w14:paraId="3030559B" w14:textId="77777777" w:rsidR="009E57F4" w:rsidRDefault="009E57F4" w:rsidP="00C613C3">
            <w:pPr>
              <w:pStyle w:val="Table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Permanent</w:t>
            </w:r>
          </w:p>
        </w:tc>
        <w:tc>
          <w:tcPr>
            <w:tcW w:w="1023" w:type="pct"/>
          </w:tcPr>
          <w:p w14:paraId="4950D90D" w14:textId="77777777" w:rsidR="009E57F4" w:rsidRDefault="009E57F4"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Retain permanently.</w:t>
            </w:r>
          </w:p>
        </w:tc>
      </w:tr>
      <w:tr w:rsidR="009E57F4" w:rsidRPr="00CB5D3E" w14:paraId="285BD760" w14:textId="77777777" w:rsidTr="007B5A8A">
        <w:tblPrEx>
          <w:tblCellMar>
            <w:top w:w="57" w:type="dxa"/>
            <w:left w:w="119" w:type="dxa"/>
            <w:right w:w="119" w:type="dxa"/>
          </w:tblCellMar>
        </w:tblPrEx>
        <w:tc>
          <w:tcPr>
            <w:cnfStyle w:val="001000000000" w:firstRow="0" w:lastRow="0" w:firstColumn="1" w:lastColumn="0" w:oddVBand="0" w:evenVBand="0" w:oddHBand="0" w:evenHBand="0" w:firstRowFirstColumn="0" w:firstRowLastColumn="0" w:lastRowFirstColumn="0" w:lastRowLastColumn="0"/>
            <w:tcW w:w="419" w:type="pct"/>
            <w:shd w:val="clear" w:color="auto" w:fill="auto"/>
          </w:tcPr>
          <w:p w14:paraId="415E3D6A" w14:textId="4955D8C9" w:rsidR="009E57F4" w:rsidRDefault="005B049B" w:rsidP="00C613C3">
            <w:pPr>
              <w:pStyle w:val="Tabletext"/>
              <w:spacing w:before="60" w:after="60" w:line="240" w:lineRule="auto"/>
              <w:rPr>
                <w:sz w:val="22"/>
                <w:szCs w:val="22"/>
              </w:rPr>
            </w:pPr>
            <w:r>
              <w:rPr>
                <w:sz w:val="22"/>
                <w:szCs w:val="22"/>
              </w:rPr>
              <w:t>2</w:t>
            </w:r>
            <w:r w:rsidR="009E57F4">
              <w:rPr>
                <w:sz w:val="22"/>
                <w:szCs w:val="22"/>
              </w:rPr>
              <w:t>.1.3</w:t>
            </w:r>
          </w:p>
        </w:tc>
        <w:tc>
          <w:tcPr>
            <w:tcW w:w="2900" w:type="pct"/>
          </w:tcPr>
          <w:p w14:paraId="5766DA2E" w14:textId="77777777" w:rsidR="009E57F4" w:rsidRDefault="009E57F4"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b/>
                <w:i/>
                <w:sz w:val="22"/>
                <w:szCs w:val="22"/>
              </w:rPr>
            </w:pPr>
            <w:r>
              <w:rPr>
                <w:b/>
                <w:i/>
                <w:sz w:val="22"/>
                <w:szCs w:val="22"/>
              </w:rPr>
              <w:t>Case register</w:t>
            </w:r>
          </w:p>
          <w:p w14:paraId="1FCD0C47" w14:textId="77777777" w:rsidR="009E57F4" w:rsidRDefault="009E57F4"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Records relating to maintaining case management systems and other control records used to record details of tribunal proceedings, and related processes and/or events for future reference.</w:t>
            </w:r>
          </w:p>
          <w:p w14:paraId="185CB30C" w14:textId="77777777" w:rsidR="009E57F4" w:rsidRDefault="009E57F4"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Entries on the register include:</w:t>
            </w:r>
          </w:p>
          <w:p w14:paraId="374D9021" w14:textId="77777777" w:rsidR="009E57F4" w:rsidRDefault="009E57F4" w:rsidP="00C613C3">
            <w:pPr>
              <w:pStyle w:val="Tabletext"/>
              <w:numPr>
                <w:ilvl w:val="0"/>
                <w:numId w:val="35"/>
              </w:numPr>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caseworks</w:t>
            </w:r>
          </w:p>
          <w:p w14:paraId="359F0161" w14:textId="77777777" w:rsidR="009E57F4" w:rsidRDefault="009E57F4" w:rsidP="00C613C3">
            <w:pPr>
              <w:pStyle w:val="Tabletext"/>
              <w:numPr>
                <w:ilvl w:val="0"/>
                <w:numId w:val="35"/>
              </w:numPr>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claims – financial</w:t>
            </w:r>
          </w:p>
          <w:p w14:paraId="3004B357" w14:textId="77777777" w:rsidR="009E57F4" w:rsidRDefault="009E57F4" w:rsidP="00C613C3">
            <w:pPr>
              <w:pStyle w:val="Tabletext"/>
              <w:numPr>
                <w:ilvl w:val="0"/>
                <w:numId w:val="35"/>
              </w:numPr>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Queensland Wide Interlinked Courts (QWIC) – financial.</w:t>
            </w:r>
          </w:p>
          <w:p w14:paraId="3F60E6EC" w14:textId="77777777" w:rsidR="009E57F4" w:rsidRDefault="009E57F4"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Records may include, but are not limited to:</w:t>
            </w:r>
          </w:p>
          <w:p w14:paraId="0387CF2B" w14:textId="77777777" w:rsidR="009E57F4" w:rsidRDefault="009E57F4" w:rsidP="00C613C3">
            <w:pPr>
              <w:pStyle w:val="Tabletext"/>
              <w:numPr>
                <w:ilvl w:val="0"/>
                <w:numId w:val="36"/>
              </w:numPr>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case identification number</w:t>
            </w:r>
          </w:p>
          <w:p w14:paraId="0C235986" w14:textId="77777777" w:rsidR="009E57F4" w:rsidRDefault="009E57F4" w:rsidP="00C613C3">
            <w:pPr>
              <w:pStyle w:val="Tabletext"/>
              <w:numPr>
                <w:ilvl w:val="0"/>
                <w:numId w:val="36"/>
              </w:numPr>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lastRenderedPageBreak/>
              <w:t>file notes</w:t>
            </w:r>
          </w:p>
          <w:p w14:paraId="432E264C" w14:textId="77777777" w:rsidR="009E57F4" w:rsidRDefault="009E57F4" w:rsidP="00C613C3">
            <w:pPr>
              <w:pStyle w:val="Tabletext"/>
              <w:numPr>
                <w:ilvl w:val="0"/>
                <w:numId w:val="36"/>
              </w:numPr>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party/respondent details</w:t>
            </w:r>
          </w:p>
          <w:p w14:paraId="5C80096D" w14:textId="77777777" w:rsidR="009E57F4" w:rsidRPr="00C66E94" w:rsidRDefault="009E57F4" w:rsidP="00C613C3">
            <w:pPr>
              <w:pStyle w:val="Tabletext"/>
              <w:numPr>
                <w:ilvl w:val="0"/>
                <w:numId w:val="36"/>
              </w:numPr>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decision.</w:t>
            </w:r>
          </w:p>
        </w:tc>
        <w:tc>
          <w:tcPr>
            <w:tcW w:w="658" w:type="pct"/>
          </w:tcPr>
          <w:p w14:paraId="36F66FF1" w14:textId="77777777" w:rsidR="009E57F4" w:rsidRDefault="009E57F4" w:rsidP="00C613C3">
            <w:pPr>
              <w:pStyle w:val="Table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lastRenderedPageBreak/>
              <w:t>Permanent</w:t>
            </w:r>
          </w:p>
        </w:tc>
        <w:tc>
          <w:tcPr>
            <w:tcW w:w="1023" w:type="pct"/>
          </w:tcPr>
          <w:p w14:paraId="2731461F" w14:textId="77777777" w:rsidR="009E57F4" w:rsidRPr="00EE50E0" w:rsidRDefault="009E57F4" w:rsidP="00C613C3">
            <w:pPr>
              <w:spacing w:before="60" w:line="240" w:lineRule="auto"/>
              <w:cnfStyle w:val="000000000000" w:firstRow="0" w:lastRow="0" w:firstColumn="0" w:lastColumn="0" w:oddVBand="0" w:evenVBand="0" w:oddHBand="0" w:evenHBand="0" w:firstRowFirstColumn="0" w:firstRowLastColumn="0" w:lastRowFirstColumn="0" w:lastRowLastColumn="0"/>
              <w:rPr>
                <w:rFonts w:cs="Arial"/>
                <w:szCs w:val="22"/>
                <w:lang w:eastAsia="en-AU"/>
              </w:rPr>
            </w:pPr>
            <w:r>
              <w:rPr>
                <w:rFonts w:cs="Arial"/>
                <w:szCs w:val="22"/>
                <w:lang w:eastAsia="en-AU"/>
              </w:rPr>
              <w:t>Retain permanently.</w:t>
            </w:r>
          </w:p>
        </w:tc>
      </w:tr>
      <w:tr w:rsidR="0077112B" w:rsidRPr="00CB5D3E" w14:paraId="1540D6C9" w14:textId="77777777" w:rsidTr="007B5A8A">
        <w:tblPrEx>
          <w:tblCellMar>
            <w:top w:w="57" w:type="dxa"/>
            <w:left w:w="119" w:type="dxa"/>
            <w:right w:w="119" w:type="dxa"/>
          </w:tblCellMar>
        </w:tblPrEx>
        <w:tc>
          <w:tcPr>
            <w:cnfStyle w:val="001000000000" w:firstRow="0" w:lastRow="0" w:firstColumn="1" w:lastColumn="0" w:oddVBand="0" w:evenVBand="0" w:oddHBand="0" w:evenHBand="0" w:firstRowFirstColumn="0" w:firstRowLastColumn="0" w:lastRowFirstColumn="0" w:lastRowLastColumn="0"/>
            <w:tcW w:w="419" w:type="pct"/>
            <w:shd w:val="clear" w:color="auto" w:fill="auto"/>
          </w:tcPr>
          <w:p w14:paraId="2436A376" w14:textId="7D6A7533" w:rsidR="0077112B" w:rsidRDefault="005B049B" w:rsidP="00C613C3">
            <w:pPr>
              <w:pStyle w:val="Tabletext"/>
              <w:spacing w:before="60" w:after="60" w:line="240" w:lineRule="auto"/>
              <w:rPr>
                <w:sz w:val="22"/>
                <w:szCs w:val="22"/>
              </w:rPr>
            </w:pPr>
            <w:r>
              <w:rPr>
                <w:sz w:val="22"/>
                <w:szCs w:val="22"/>
              </w:rPr>
              <w:t>2</w:t>
            </w:r>
            <w:r w:rsidR="0077112B">
              <w:rPr>
                <w:sz w:val="22"/>
                <w:szCs w:val="22"/>
              </w:rPr>
              <w:t>.1.4</w:t>
            </w:r>
          </w:p>
        </w:tc>
        <w:tc>
          <w:tcPr>
            <w:tcW w:w="2900" w:type="pct"/>
          </w:tcPr>
          <w:p w14:paraId="6F5F4DE9" w14:textId="77777777" w:rsidR="0077112B" w:rsidRDefault="0077112B"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b/>
                <w:i/>
                <w:sz w:val="22"/>
                <w:szCs w:val="22"/>
              </w:rPr>
            </w:pPr>
            <w:bookmarkStart w:id="31" w:name="PermanentCaseManagementFiles"/>
            <w:r>
              <w:rPr>
                <w:b/>
                <w:i/>
                <w:sz w:val="22"/>
                <w:szCs w:val="22"/>
              </w:rPr>
              <w:t>Permanent case management files</w:t>
            </w:r>
          </w:p>
          <w:bookmarkEnd w:id="31"/>
          <w:p w14:paraId="5F29BB82" w14:textId="036A0F66" w:rsidR="0077112B" w:rsidRPr="0077112B" w:rsidRDefault="0077112B"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Records relating to matters that have been brought to the tribunal which are selected by the President or Principal Registrar to be exceptional, set a precedent, are notable for their contribution in developing the law, their factual complexity or the level of public interest generated.</w:t>
            </w:r>
          </w:p>
        </w:tc>
        <w:tc>
          <w:tcPr>
            <w:tcW w:w="658" w:type="pct"/>
          </w:tcPr>
          <w:p w14:paraId="5F0B5BAB" w14:textId="4E9F258A" w:rsidR="0077112B" w:rsidRDefault="0077112B" w:rsidP="00C613C3">
            <w:pPr>
              <w:pStyle w:val="Table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Permanent</w:t>
            </w:r>
          </w:p>
        </w:tc>
        <w:tc>
          <w:tcPr>
            <w:tcW w:w="1023" w:type="pct"/>
          </w:tcPr>
          <w:p w14:paraId="51C8891C" w14:textId="4A6FFE71" w:rsidR="0077112B" w:rsidRPr="00EE50E0" w:rsidRDefault="0077112B" w:rsidP="00C613C3">
            <w:pPr>
              <w:spacing w:before="60" w:line="240" w:lineRule="auto"/>
              <w:cnfStyle w:val="000000000000" w:firstRow="0" w:lastRow="0" w:firstColumn="0" w:lastColumn="0" w:oddVBand="0" w:evenVBand="0" w:oddHBand="0" w:evenHBand="0" w:firstRowFirstColumn="0" w:firstRowLastColumn="0" w:lastRowFirstColumn="0" w:lastRowLastColumn="0"/>
              <w:rPr>
                <w:rFonts w:cs="Arial"/>
                <w:szCs w:val="22"/>
                <w:lang w:eastAsia="en-AU"/>
              </w:rPr>
            </w:pPr>
            <w:r>
              <w:rPr>
                <w:rFonts w:cs="Arial"/>
                <w:szCs w:val="22"/>
                <w:lang w:eastAsia="en-AU"/>
              </w:rPr>
              <w:t>Retain permanently.</w:t>
            </w:r>
          </w:p>
        </w:tc>
      </w:tr>
      <w:tr w:rsidR="009E57F4" w:rsidRPr="00CB5D3E" w14:paraId="43BFCD65" w14:textId="77777777" w:rsidTr="007B5A8A">
        <w:tblPrEx>
          <w:tblCellMar>
            <w:top w:w="57" w:type="dxa"/>
            <w:left w:w="119" w:type="dxa"/>
            <w:right w:w="119" w:type="dxa"/>
          </w:tblCellMar>
        </w:tblPrEx>
        <w:tc>
          <w:tcPr>
            <w:cnfStyle w:val="001000000000" w:firstRow="0" w:lastRow="0" w:firstColumn="1" w:lastColumn="0" w:oddVBand="0" w:evenVBand="0" w:oddHBand="0" w:evenHBand="0" w:firstRowFirstColumn="0" w:firstRowLastColumn="0" w:lastRowFirstColumn="0" w:lastRowLastColumn="0"/>
            <w:tcW w:w="419" w:type="pct"/>
            <w:shd w:val="clear" w:color="auto" w:fill="auto"/>
          </w:tcPr>
          <w:p w14:paraId="0EE2432E" w14:textId="781F3217" w:rsidR="009E57F4" w:rsidRDefault="005B049B" w:rsidP="00C613C3">
            <w:pPr>
              <w:pStyle w:val="Tabletext"/>
              <w:spacing w:before="60" w:after="60" w:line="240" w:lineRule="auto"/>
              <w:rPr>
                <w:sz w:val="22"/>
                <w:szCs w:val="22"/>
              </w:rPr>
            </w:pPr>
            <w:r>
              <w:rPr>
                <w:sz w:val="22"/>
                <w:szCs w:val="22"/>
              </w:rPr>
              <w:t>2</w:t>
            </w:r>
            <w:r w:rsidR="009E57F4">
              <w:rPr>
                <w:sz w:val="22"/>
                <w:szCs w:val="22"/>
              </w:rPr>
              <w:t>.1.</w:t>
            </w:r>
            <w:r w:rsidR="0077112B">
              <w:rPr>
                <w:sz w:val="22"/>
                <w:szCs w:val="22"/>
              </w:rPr>
              <w:t>5</w:t>
            </w:r>
          </w:p>
        </w:tc>
        <w:tc>
          <w:tcPr>
            <w:tcW w:w="2900" w:type="pct"/>
          </w:tcPr>
          <w:p w14:paraId="1937F5C8" w14:textId="77777777" w:rsidR="009E57F4" w:rsidRDefault="009E57F4"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b/>
                <w:i/>
                <w:sz w:val="22"/>
                <w:szCs w:val="22"/>
              </w:rPr>
            </w:pPr>
            <w:r>
              <w:rPr>
                <w:b/>
                <w:i/>
                <w:sz w:val="22"/>
                <w:szCs w:val="22"/>
              </w:rPr>
              <w:t>Memorandum of understandings (MOU)/relationship agreements</w:t>
            </w:r>
          </w:p>
          <w:p w14:paraId="12DCCABB" w14:textId="77777777" w:rsidR="009E57F4" w:rsidRDefault="009E57F4"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Records relating to memorandum of understandings (MOU) and relationship agreements entered into by QCAT.</w:t>
            </w:r>
          </w:p>
          <w:p w14:paraId="3B5A2FF1" w14:textId="77777777" w:rsidR="009E57F4" w:rsidRDefault="009E57F4"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Records may include, but are not limited to:</w:t>
            </w:r>
          </w:p>
          <w:p w14:paraId="0DEDF962" w14:textId="77777777" w:rsidR="009E57F4" w:rsidRDefault="009E57F4" w:rsidP="00C613C3">
            <w:pPr>
              <w:pStyle w:val="Tabletext"/>
              <w:numPr>
                <w:ilvl w:val="0"/>
                <w:numId w:val="34"/>
              </w:numPr>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superseded MOU’s</w:t>
            </w:r>
          </w:p>
          <w:p w14:paraId="7D84ED5A" w14:textId="77777777" w:rsidR="009E57F4" w:rsidRPr="00C66E94" w:rsidRDefault="009E57F4" w:rsidP="00C613C3">
            <w:pPr>
              <w:pStyle w:val="Tabletext"/>
              <w:numPr>
                <w:ilvl w:val="0"/>
                <w:numId w:val="34"/>
              </w:numPr>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file notes.</w:t>
            </w:r>
          </w:p>
        </w:tc>
        <w:tc>
          <w:tcPr>
            <w:tcW w:w="658" w:type="pct"/>
          </w:tcPr>
          <w:p w14:paraId="6F92A435" w14:textId="77777777" w:rsidR="009E57F4" w:rsidRDefault="009E57F4" w:rsidP="00C613C3">
            <w:pPr>
              <w:pStyle w:val="Table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Temporary</w:t>
            </w:r>
          </w:p>
        </w:tc>
        <w:tc>
          <w:tcPr>
            <w:tcW w:w="1023" w:type="pct"/>
          </w:tcPr>
          <w:p w14:paraId="67B271AC" w14:textId="77777777" w:rsidR="009E57F4" w:rsidRPr="00C66E94" w:rsidRDefault="009E57F4" w:rsidP="00C613C3">
            <w:pPr>
              <w:spacing w:before="60" w:line="240" w:lineRule="auto"/>
              <w:cnfStyle w:val="000000000000" w:firstRow="0" w:lastRow="0" w:firstColumn="0" w:lastColumn="0" w:oddVBand="0" w:evenVBand="0" w:oddHBand="0" w:evenHBand="0" w:firstRowFirstColumn="0" w:firstRowLastColumn="0" w:lastRowFirstColumn="0" w:lastRowLastColumn="0"/>
              <w:rPr>
                <w:rFonts w:cs="Arial"/>
                <w:szCs w:val="22"/>
                <w:lang w:eastAsia="en-AU"/>
              </w:rPr>
            </w:pPr>
            <w:r w:rsidRPr="00EE50E0">
              <w:rPr>
                <w:rFonts w:cs="Arial"/>
                <w:szCs w:val="22"/>
                <w:lang w:eastAsia="en-AU"/>
              </w:rPr>
              <w:t xml:space="preserve">Retain for </w:t>
            </w:r>
            <w:r>
              <w:rPr>
                <w:rFonts w:cs="Arial"/>
                <w:szCs w:val="22"/>
                <w:lang w:eastAsia="en-AU"/>
              </w:rPr>
              <w:t>12</w:t>
            </w:r>
            <w:r w:rsidRPr="00EE50E0">
              <w:rPr>
                <w:rFonts w:cs="Arial"/>
                <w:szCs w:val="22"/>
                <w:lang w:eastAsia="en-AU"/>
              </w:rPr>
              <w:t xml:space="preserve"> years after expiry or </w:t>
            </w:r>
            <w:r>
              <w:rPr>
                <w:rFonts w:cs="Arial"/>
                <w:szCs w:val="22"/>
                <w:lang w:eastAsia="en-AU"/>
              </w:rPr>
              <w:t>business action completed.</w:t>
            </w:r>
          </w:p>
        </w:tc>
      </w:tr>
      <w:tr w:rsidR="00D26A3B" w:rsidRPr="00CB5D3E" w14:paraId="238A484C" w14:textId="77777777" w:rsidTr="007B5A8A">
        <w:tblPrEx>
          <w:tblCellMar>
            <w:top w:w="57" w:type="dxa"/>
            <w:left w:w="119" w:type="dxa"/>
            <w:right w:w="119" w:type="dxa"/>
          </w:tblCellMar>
        </w:tblPrEx>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 w:type="pct"/>
            <w:shd w:val="clear" w:color="auto" w:fill="auto"/>
          </w:tcPr>
          <w:p w14:paraId="5512BC1C" w14:textId="5FD19344" w:rsidR="00D26A3B" w:rsidRDefault="005B049B" w:rsidP="00C613C3">
            <w:pPr>
              <w:pStyle w:val="Tabletext"/>
              <w:spacing w:before="60" w:after="60" w:line="240" w:lineRule="auto"/>
              <w:rPr>
                <w:sz w:val="22"/>
                <w:szCs w:val="22"/>
              </w:rPr>
            </w:pPr>
            <w:r>
              <w:rPr>
                <w:sz w:val="22"/>
                <w:szCs w:val="22"/>
              </w:rPr>
              <w:t>2</w:t>
            </w:r>
            <w:r w:rsidR="00D26A3B">
              <w:rPr>
                <w:sz w:val="22"/>
                <w:szCs w:val="22"/>
              </w:rPr>
              <w:t>.1.</w:t>
            </w:r>
            <w:r w:rsidR="0077112B">
              <w:rPr>
                <w:sz w:val="22"/>
                <w:szCs w:val="22"/>
              </w:rPr>
              <w:t>6</w:t>
            </w:r>
          </w:p>
        </w:tc>
        <w:tc>
          <w:tcPr>
            <w:tcW w:w="2900" w:type="pct"/>
          </w:tcPr>
          <w:p w14:paraId="4AC772FC" w14:textId="77777777" w:rsidR="00D26A3B" w:rsidRDefault="00D26A3B" w:rsidP="00C613C3">
            <w:pPr>
              <w:pStyle w:val="Tabletext"/>
              <w:spacing w:before="60" w:after="60" w:line="240" w:lineRule="auto"/>
              <w:cnfStyle w:val="010000000000" w:firstRow="0" w:lastRow="1" w:firstColumn="0" w:lastColumn="0" w:oddVBand="0" w:evenVBand="0" w:oddHBand="0" w:evenHBand="0" w:firstRowFirstColumn="0" w:firstRowLastColumn="0" w:lastRowFirstColumn="0" w:lastRowLastColumn="0"/>
              <w:rPr>
                <w:b/>
                <w:i/>
                <w:sz w:val="22"/>
                <w:szCs w:val="22"/>
              </w:rPr>
            </w:pPr>
            <w:r>
              <w:rPr>
                <w:b/>
                <w:i/>
                <w:sz w:val="22"/>
                <w:szCs w:val="22"/>
              </w:rPr>
              <w:t>Search and copy requests</w:t>
            </w:r>
          </w:p>
          <w:p w14:paraId="60930E34" w14:textId="77777777" w:rsidR="00D26A3B" w:rsidRDefault="00D26A3B" w:rsidP="00C613C3">
            <w:pPr>
              <w:pStyle w:val="Tabletext"/>
              <w:spacing w:before="60" w:after="60" w:line="240" w:lineRule="auto"/>
              <w:cnfStyle w:val="010000000000" w:firstRow="0" w:lastRow="1" w:firstColumn="0" w:lastColumn="0" w:oddVBand="0" w:evenVBand="0" w:oddHBand="0" w:evenHBand="0" w:firstRowFirstColumn="0" w:firstRowLastColumn="0" w:lastRowFirstColumn="0" w:lastRowLastColumn="0"/>
              <w:rPr>
                <w:sz w:val="22"/>
                <w:szCs w:val="22"/>
              </w:rPr>
            </w:pPr>
            <w:r>
              <w:rPr>
                <w:sz w:val="22"/>
                <w:szCs w:val="22"/>
              </w:rPr>
              <w:t>Records relating to requests to access, inspect and/or copy tribunal records, exhibits and subpoenaed material.</w:t>
            </w:r>
          </w:p>
          <w:p w14:paraId="0494C6DF" w14:textId="77777777" w:rsidR="00D26A3B" w:rsidRDefault="00D26A3B" w:rsidP="00C613C3">
            <w:pPr>
              <w:pStyle w:val="Tabletext"/>
              <w:spacing w:before="60" w:after="60" w:line="240" w:lineRule="auto"/>
              <w:cnfStyle w:val="010000000000" w:firstRow="0" w:lastRow="1" w:firstColumn="0" w:lastColumn="0" w:oddVBand="0" w:evenVBand="0" w:oddHBand="0" w:evenHBand="0" w:firstRowFirstColumn="0" w:firstRowLastColumn="0" w:lastRowFirstColumn="0" w:lastRowLastColumn="0"/>
              <w:rPr>
                <w:sz w:val="22"/>
                <w:szCs w:val="22"/>
              </w:rPr>
            </w:pPr>
            <w:r>
              <w:rPr>
                <w:sz w:val="22"/>
                <w:szCs w:val="22"/>
              </w:rPr>
              <w:t>Records may include, but are not limited to:</w:t>
            </w:r>
          </w:p>
          <w:p w14:paraId="5A9E14A7" w14:textId="522B16C4" w:rsidR="00D26A3B" w:rsidRPr="009E57F4" w:rsidRDefault="009E57F4" w:rsidP="00C613C3">
            <w:pPr>
              <w:pStyle w:val="Tabletext"/>
              <w:numPr>
                <w:ilvl w:val="0"/>
                <w:numId w:val="32"/>
              </w:numPr>
              <w:spacing w:before="60" w:after="60" w:line="240" w:lineRule="auto"/>
              <w:cnfStyle w:val="010000000000" w:firstRow="0" w:lastRow="1" w:firstColumn="0" w:lastColumn="0" w:oddVBand="0" w:evenVBand="0" w:oddHBand="0" w:evenHBand="0" w:firstRowFirstColumn="0" w:firstRowLastColumn="0" w:lastRowFirstColumn="0" w:lastRowLastColumn="0"/>
              <w:rPr>
                <w:sz w:val="22"/>
                <w:szCs w:val="22"/>
              </w:rPr>
            </w:pPr>
            <w:r>
              <w:rPr>
                <w:sz w:val="22"/>
                <w:szCs w:val="22"/>
              </w:rPr>
              <w:t>letter of request/approvals.</w:t>
            </w:r>
          </w:p>
        </w:tc>
        <w:tc>
          <w:tcPr>
            <w:tcW w:w="658" w:type="pct"/>
          </w:tcPr>
          <w:p w14:paraId="7D8B3AFB" w14:textId="77777777" w:rsidR="00D26A3B" w:rsidRDefault="00D26A3B" w:rsidP="00C613C3">
            <w:pPr>
              <w:pStyle w:val="Tabletext"/>
              <w:spacing w:before="60" w:after="60" w:line="240" w:lineRule="auto"/>
              <w:jc w:val="center"/>
              <w:cnfStyle w:val="010000000000" w:firstRow="0" w:lastRow="1" w:firstColumn="0" w:lastColumn="0" w:oddVBand="0" w:evenVBand="0" w:oddHBand="0" w:evenHBand="0" w:firstRowFirstColumn="0" w:firstRowLastColumn="0" w:lastRowFirstColumn="0" w:lastRowLastColumn="0"/>
              <w:rPr>
                <w:sz w:val="22"/>
                <w:szCs w:val="22"/>
              </w:rPr>
            </w:pPr>
            <w:r>
              <w:rPr>
                <w:sz w:val="22"/>
                <w:szCs w:val="22"/>
              </w:rPr>
              <w:t>Temporary</w:t>
            </w:r>
          </w:p>
        </w:tc>
        <w:tc>
          <w:tcPr>
            <w:tcW w:w="1023" w:type="pct"/>
          </w:tcPr>
          <w:p w14:paraId="6162BA19" w14:textId="22C52D96" w:rsidR="00D26A3B" w:rsidRDefault="00D26A3B" w:rsidP="00C613C3">
            <w:pPr>
              <w:pStyle w:val="Tabletext"/>
              <w:spacing w:before="60" w:after="60" w:line="240" w:lineRule="auto"/>
              <w:cnfStyle w:val="010000000000" w:firstRow="0" w:lastRow="1" w:firstColumn="0" w:lastColumn="0" w:oddVBand="0" w:evenVBand="0" w:oddHBand="0" w:evenHBand="0" w:firstRowFirstColumn="0" w:firstRowLastColumn="0" w:lastRowFirstColumn="0" w:lastRowLastColumn="0"/>
              <w:rPr>
                <w:sz w:val="22"/>
                <w:szCs w:val="22"/>
              </w:rPr>
            </w:pPr>
            <w:r>
              <w:rPr>
                <w:sz w:val="22"/>
                <w:szCs w:val="22"/>
              </w:rPr>
              <w:t xml:space="preserve">Retain for 2 years after </w:t>
            </w:r>
            <w:r w:rsidR="000E3125">
              <w:rPr>
                <w:sz w:val="22"/>
                <w:szCs w:val="22"/>
              </w:rPr>
              <w:t>business</w:t>
            </w:r>
            <w:r>
              <w:rPr>
                <w:sz w:val="22"/>
                <w:szCs w:val="22"/>
              </w:rPr>
              <w:t xml:space="preserve"> action</w:t>
            </w:r>
            <w:r w:rsidR="000E3125">
              <w:rPr>
                <w:sz w:val="22"/>
                <w:szCs w:val="22"/>
              </w:rPr>
              <w:t xml:space="preserve"> completed</w:t>
            </w:r>
            <w:r>
              <w:rPr>
                <w:sz w:val="22"/>
                <w:szCs w:val="22"/>
              </w:rPr>
              <w:t>.</w:t>
            </w:r>
          </w:p>
        </w:tc>
      </w:tr>
    </w:tbl>
    <w:p w14:paraId="4327A2E8" w14:textId="77777777" w:rsidR="00076615" w:rsidRDefault="00076615" w:rsidP="00C613C3">
      <w:pPr>
        <w:spacing w:before="60"/>
        <w:rPr>
          <w:lang w:eastAsia="en-AU"/>
        </w:rPr>
      </w:pPr>
    </w:p>
    <w:p w14:paraId="62A16550" w14:textId="76C26CA3" w:rsidR="005B7ABC" w:rsidRDefault="005B7ABC">
      <w:pPr>
        <w:spacing w:before="0" w:after="0" w:line="240" w:lineRule="auto"/>
        <w:rPr>
          <w:lang w:eastAsia="en-AU"/>
        </w:rPr>
      </w:pPr>
      <w:r>
        <w:rPr>
          <w:lang w:eastAsia="en-AU"/>
        </w:rPr>
        <w:br w:type="page"/>
      </w:r>
    </w:p>
    <w:p w14:paraId="3E6D8862" w14:textId="060B7BBC" w:rsidR="006A7BB9" w:rsidRPr="0077112B" w:rsidRDefault="005B049B" w:rsidP="00C613C3">
      <w:pPr>
        <w:pStyle w:val="Heading1"/>
        <w:spacing w:before="60" w:after="60" w:line="240" w:lineRule="auto"/>
        <w:rPr>
          <w:b w:val="0"/>
          <w:szCs w:val="36"/>
        </w:rPr>
      </w:pPr>
      <w:bookmarkStart w:id="32" w:name="_Toc456614292"/>
      <w:r>
        <w:rPr>
          <w:rStyle w:val="Heading2Char"/>
          <w:b/>
          <w:color w:val="auto"/>
          <w:sz w:val="36"/>
          <w:szCs w:val="36"/>
        </w:rPr>
        <w:lastRenderedPageBreak/>
        <w:t>3</w:t>
      </w:r>
      <w:r w:rsidR="006A7BB9" w:rsidRPr="0077112B">
        <w:rPr>
          <w:rStyle w:val="Heading2Char"/>
          <w:b/>
          <w:color w:val="auto"/>
          <w:sz w:val="36"/>
          <w:szCs w:val="36"/>
        </w:rPr>
        <w:t>. LEGACY RECORDS</w:t>
      </w:r>
      <w:bookmarkEnd w:id="32"/>
    </w:p>
    <w:p w14:paraId="0B15FDE2" w14:textId="77777777" w:rsidR="006A7BB9" w:rsidRDefault="006A7BB9" w:rsidP="00EB7920">
      <w:pPr>
        <w:spacing w:before="120" w:after="120" w:line="240" w:lineRule="auto"/>
      </w:pPr>
      <w:r w:rsidRPr="004977CE">
        <w:rPr>
          <w:i/>
        </w:rPr>
        <w:t>This section covers legacy records of the</w:t>
      </w:r>
      <w:r w:rsidRPr="004977CE">
        <w:t xml:space="preserve"> </w:t>
      </w:r>
      <w:r w:rsidR="00C66E94" w:rsidRPr="00C66E94">
        <w:rPr>
          <w:i/>
        </w:rPr>
        <w:t>Queensland Civil and Administrative Tribunal</w:t>
      </w:r>
      <w:r w:rsidR="00C66E94">
        <w:t>.</w:t>
      </w:r>
    </w:p>
    <w:p w14:paraId="05C97851" w14:textId="77777777" w:rsidR="008974D0" w:rsidRDefault="008974D0" w:rsidP="00E55097">
      <w:pPr>
        <w:spacing w:before="0" w:after="0" w:line="240" w:lineRule="auto"/>
        <w:rPr>
          <w:b/>
        </w:rPr>
      </w:pPr>
    </w:p>
    <w:p w14:paraId="0C9FC4E1" w14:textId="101D2969" w:rsidR="0077112B" w:rsidRDefault="008974D0" w:rsidP="00E02A3F">
      <w:pPr>
        <w:spacing w:before="120" w:after="120" w:line="240" w:lineRule="auto"/>
      </w:pPr>
      <w:r w:rsidRPr="008974D0">
        <w:rPr>
          <w:b/>
        </w:rPr>
        <w:t>NOTE:</w:t>
      </w:r>
      <w:r>
        <w:t xml:space="preserve"> Under s</w:t>
      </w:r>
      <w:r w:rsidR="005B7ABC">
        <w:t>.</w:t>
      </w:r>
      <w:r>
        <w:t xml:space="preserve">253 of the </w:t>
      </w:r>
      <w:r w:rsidRPr="00EB7920">
        <w:rPr>
          <w:i/>
        </w:rPr>
        <w:t>Queensland Civil and Administrative Act 2009</w:t>
      </w:r>
      <w:r>
        <w:t>, all records of a former tribunal are records of QCAT.</w:t>
      </w:r>
      <w:r w:rsidR="00E55097">
        <w:t xml:space="preserve"> </w:t>
      </w:r>
      <w:r w:rsidR="0077112B">
        <w:t>Records relating to practice directions, rules committee and case registers for these tribunals are to be retained permanently.</w:t>
      </w:r>
    </w:p>
    <w:p w14:paraId="65B97841" w14:textId="77777777" w:rsidR="006A7BB9" w:rsidRPr="004977CE" w:rsidRDefault="006A7BB9" w:rsidP="00E55097">
      <w:pPr>
        <w:spacing w:before="0" w:after="0" w:line="240" w:lineRule="auto"/>
      </w:pPr>
    </w:p>
    <w:tbl>
      <w:tblPr>
        <w:tblStyle w:val="Table-LowInk"/>
        <w:tblW w:w="4910" w:type="pct"/>
        <w:tblLook w:val="01E0" w:firstRow="1" w:lastRow="1" w:firstColumn="1" w:lastColumn="1" w:noHBand="0" w:noVBand="0"/>
      </w:tblPr>
      <w:tblGrid>
        <w:gridCol w:w="1195"/>
        <w:gridCol w:w="5876"/>
        <w:gridCol w:w="1996"/>
        <w:gridCol w:w="2097"/>
        <w:gridCol w:w="3690"/>
      </w:tblGrid>
      <w:tr w:rsidR="006208F4" w:rsidRPr="00A91FB5" w14:paraId="05E8FBFD" w14:textId="77777777" w:rsidTr="0086104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2" w:type="pct"/>
          </w:tcPr>
          <w:p w14:paraId="17473573" w14:textId="77777777" w:rsidR="006A7BB9" w:rsidRPr="0030660A" w:rsidRDefault="006A7BB9" w:rsidP="00C613C3">
            <w:pPr>
              <w:pStyle w:val="Tabletext"/>
              <w:spacing w:before="60" w:after="60" w:line="240" w:lineRule="auto"/>
              <w:jc w:val="center"/>
            </w:pPr>
            <w:r w:rsidRPr="0030660A">
              <w:t>Reference</w:t>
            </w:r>
          </w:p>
        </w:tc>
        <w:tc>
          <w:tcPr>
            <w:tcW w:w="1978" w:type="pct"/>
          </w:tcPr>
          <w:p w14:paraId="21DA3C78" w14:textId="77777777" w:rsidR="006A7BB9" w:rsidRPr="0030660A" w:rsidRDefault="006A7BB9" w:rsidP="00C613C3">
            <w:pPr>
              <w:pStyle w:val="Tabletext"/>
              <w:spacing w:before="60" w:after="60" w:line="240" w:lineRule="auto"/>
              <w:jc w:val="center"/>
              <w:cnfStyle w:val="100000000000" w:firstRow="1" w:lastRow="0" w:firstColumn="0" w:lastColumn="0" w:oddVBand="0" w:evenVBand="0" w:oddHBand="0" w:evenHBand="0" w:firstRowFirstColumn="0" w:firstRowLastColumn="0" w:lastRowFirstColumn="0" w:lastRowLastColumn="0"/>
            </w:pPr>
            <w:r w:rsidRPr="0030660A">
              <w:t>Description of records</w:t>
            </w:r>
          </w:p>
        </w:tc>
        <w:tc>
          <w:tcPr>
            <w:tcW w:w="672" w:type="pct"/>
          </w:tcPr>
          <w:p w14:paraId="4C4E8A34" w14:textId="77777777" w:rsidR="006A7BB9" w:rsidRPr="0030660A" w:rsidRDefault="006A7BB9" w:rsidP="00C613C3">
            <w:pPr>
              <w:pStyle w:val="Tabletext"/>
              <w:spacing w:before="60" w:after="60" w:line="240" w:lineRule="auto"/>
              <w:jc w:val="center"/>
              <w:cnfStyle w:val="100000000000" w:firstRow="1" w:lastRow="0" w:firstColumn="0" w:lastColumn="0" w:oddVBand="0" w:evenVBand="0" w:oddHBand="0" w:evenHBand="0" w:firstRowFirstColumn="0" w:firstRowLastColumn="0" w:lastRowFirstColumn="0" w:lastRowLastColumn="0"/>
            </w:pPr>
            <w:r w:rsidRPr="0030660A">
              <w:t>Date range</w:t>
            </w:r>
          </w:p>
        </w:tc>
        <w:tc>
          <w:tcPr>
            <w:tcW w:w="706" w:type="pct"/>
          </w:tcPr>
          <w:p w14:paraId="7C18D915" w14:textId="77777777" w:rsidR="006A7BB9" w:rsidRPr="0030660A" w:rsidRDefault="006A7BB9" w:rsidP="00C613C3">
            <w:pPr>
              <w:pStyle w:val="Tabletext"/>
              <w:spacing w:before="60" w:after="60" w:line="240" w:lineRule="auto"/>
              <w:jc w:val="center"/>
              <w:cnfStyle w:val="100000000000" w:firstRow="1" w:lastRow="0" w:firstColumn="0" w:lastColumn="0" w:oddVBand="0" w:evenVBand="0" w:oddHBand="0" w:evenHBand="0" w:firstRowFirstColumn="0" w:firstRowLastColumn="0" w:lastRowFirstColumn="0" w:lastRowLastColumn="0"/>
            </w:pPr>
            <w:r w:rsidRPr="0030660A">
              <w:t>Status</w:t>
            </w:r>
          </w:p>
        </w:tc>
        <w:tc>
          <w:tcPr>
            <w:tcW w:w="1242" w:type="pct"/>
          </w:tcPr>
          <w:p w14:paraId="604D05EB" w14:textId="77777777" w:rsidR="006A7BB9" w:rsidRPr="0030660A" w:rsidRDefault="006A7BB9" w:rsidP="00C613C3">
            <w:pPr>
              <w:pStyle w:val="Tabletext"/>
              <w:spacing w:before="60" w:after="60" w:line="240" w:lineRule="auto"/>
              <w:jc w:val="center"/>
              <w:cnfStyle w:val="100000000000" w:firstRow="1" w:lastRow="0" w:firstColumn="0" w:lastColumn="0" w:oddVBand="0" w:evenVBand="0" w:oddHBand="0" w:evenHBand="0" w:firstRowFirstColumn="0" w:firstRowLastColumn="0" w:lastRowFirstColumn="0" w:lastRowLastColumn="0"/>
            </w:pPr>
            <w:r w:rsidRPr="0030660A">
              <w:t>Disposal action</w:t>
            </w:r>
          </w:p>
        </w:tc>
      </w:tr>
      <w:tr w:rsidR="0086104D" w:rsidRPr="00A91FB5" w14:paraId="005A1DB9" w14:textId="77777777" w:rsidTr="0086104D">
        <w:tblPrEx>
          <w:tblCellMar>
            <w:top w:w="57" w:type="dxa"/>
            <w:left w:w="119" w:type="dxa"/>
            <w:right w:w="119" w:type="dxa"/>
          </w:tblCellMar>
        </w:tblPrEx>
        <w:tc>
          <w:tcPr>
            <w:cnfStyle w:val="001000000000" w:firstRow="0" w:lastRow="0" w:firstColumn="1" w:lastColumn="0" w:oddVBand="0" w:evenVBand="0" w:oddHBand="0" w:evenHBand="0" w:firstRowFirstColumn="0" w:firstRowLastColumn="0" w:lastRowFirstColumn="0" w:lastRowLastColumn="0"/>
            <w:tcW w:w="402" w:type="pct"/>
          </w:tcPr>
          <w:p w14:paraId="5617D6CD" w14:textId="4CDCEE26" w:rsidR="0086104D" w:rsidRPr="00A91FB5" w:rsidRDefault="005B049B" w:rsidP="00C613C3">
            <w:pPr>
              <w:pStyle w:val="Tabletext"/>
              <w:spacing w:before="60" w:after="60" w:line="240" w:lineRule="auto"/>
              <w:rPr>
                <w:sz w:val="22"/>
                <w:szCs w:val="22"/>
              </w:rPr>
            </w:pPr>
            <w:r>
              <w:rPr>
                <w:sz w:val="22"/>
                <w:szCs w:val="22"/>
              </w:rPr>
              <w:t>3</w:t>
            </w:r>
            <w:r w:rsidR="0086104D">
              <w:rPr>
                <w:sz w:val="22"/>
                <w:szCs w:val="22"/>
              </w:rPr>
              <w:t>.1</w:t>
            </w:r>
          </w:p>
        </w:tc>
        <w:tc>
          <w:tcPr>
            <w:tcW w:w="4598" w:type="pct"/>
            <w:gridSpan w:val="4"/>
          </w:tcPr>
          <w:p w14:paraId="1BEFA855" w14:textId="77777777" w:rsidR="0086104D" w:rsidRDefault="0086104D" w:rsidP="00C613C3">
            <w:pPr>
              <w:pStyle w:val="Heading30"/>
              <w:spacing w:before="60" w:after="60"/>
              <w:cnfStyle w:val="000000000000" w:firstRow="0" w:lastRow="0" w:firstColumn="0" w:lastColumn="0" w:oddVBand="0" w:evenVBand="0" w:oddHBand="0" w:evenHBand="0" w:firstRowFirstColumn="0" w:firstRowLastColumn="0" w:lastRowFirstColumn="0" w:lastRowLastColumn="0"/>
            </w:pPr>
            <w:r>
              <w:t>FORMER TRIBUNALS</w:t>
            </w:r>
          </w:p>
          <w:p w14:paraId="4D819C68" w14:textId="30D7C325" w:rsidR="0086104D" w:rsidRPr="00EB7920" w:rsidRDefault="0086104D" w:rsidP="00562E9B">
            <w:pPr>
              <w:pStyle w:val="Heading30"/>
              <w:spacing w:before="60" w:after="60"/>
              <w:cnfStyle w:val="000000000000" w:firstRow="0" w:lastRow="0" w:firstColumn="0" w:lastColumn="0" w:oddVBand="0" w:evenVBand="0" w:oddHBand="0" w:evenHBand="0" w:firstRowFirstColumn="0" w:firstRowLastColumn="0" w:lastRowFirstColumn="0" w:lastRowLastColumn="0"/>
              <w:rPr>
                <w:b w:val="0"/>
              </w:rPr>
            </w:pPr>
            <w:r w:rsidRPr="00EB7920">
              <w:rPr>
                <w:b w:val="0"/>
                <w:i/>
              </w:rPr>
              <w:t>The below tribunals were amalgamated into QCAT on 1 December 2009 and no longer exist.</w:t>
            </w:r>
          </w:p>
        </w:tc>
      </w:tr>
      <w:tr w:rsidR="006208F4" w:rsidRPr="00A91FB5" w14:paraId="24B2F325" w14:textId="77777777" w:rsidTr="0086104D">
        <w:tblPrEx>
          <w:tblCellMar>
            <w:top w:w="57" w:type="dxa"/>
            <w:left w:w="119" w:type="dxa"/>
            <w:right w:w="119" w:type="dxa"/>
          </w:tblCellMar>
        </w:tblPrEx>
        <w:tc>
          <w:tcPr>
            <w:cnfStyle w:val="001000000000" w:firstRow="0" w:lastRow="0" w:firstColumn="1" w:lastColumn="0" w:oddVBand="0" w:evenVBand="0" w:oddHBand="0" w:evenHBand="0" w:firstRowFirstColumn="0" w:firstRowLastColumn="0" w:lastRowFirstColumn="0" w:lastRowLastColumn="0"/>
            <w:tcW w:w="402" w:type="pct"/>
          </w:tcPr>
          <w:p w14:paraId="1C32F0D1" w14:textId="52A911FA" w:rsidR="006A7BB9" w:rsidRPr="003241F5" w:rsidRDefault="005B049B" w:rsidP="00C613C3">
            <w:pPr>
              <w:pStyle w:val="Tabletext"/>
              <w:spacing w:before="60" w:after="60" w:line="240" w:lineRule="auto"/>
              <w:rPr>
                <w:sz w:val="22"/>
                <w:szCs w:val="22"/>
              </w:rPr>
            </w:pPr>
            <w:r>
              <w:rPr>
                <w:sz w:val="22"/>
                <w:szCs w:val="22"/>
              </w:rPr>
              <w:t>3</w:t>
            </w:r>
            <w:r w:rsidR="009E42C5">
              <w:rPr>
                <w:sz w:val="22"/>
                <w:szCs w:val="22"/>
              </w:rPr>
              <w:t>.1.1</w:t>
            </w:r>
          </w:p>
        </w:tc>
        <w:tc>
          <w:tcPr>
            <w:tcW w:w="1978" w:type="pct"/>
          </w:tcPr>
          <w:p w14:paraId="694D34A7" w14:textId="77777777" w:rsidR="006A7BB9" w:rsidRPr="004107AB" w:rsidRDefault="00C66E94" w:rsidP="00C613C3">
            <w:pPr>
              <w:pStyle w:val="Heading30"/>
              <w:spacing w:before="60" w:after="60"/>
              <w:cnfStyle w:val="000000000000" w:firstRow="0" w:lastRow="0" w:firstColumn="0" w:lastColumn="0" w:oddVBand="0" w:evenVBand="0" w:oddHBand="0" w:evenHBand="0" w:firstRowFirstColumn="0" w:firstRowLastColumn="0" w:lastRowFirstColumn="0" w:lastRowLastColumn="0"/>
              <w:rPr>
                <w:i/>
              </w:rPr>
            </w:pPr>
            <w:r>
              <w:rPr>
                <w:i/>
              </w:rPr>
              <w:t>Anti-Discrimination Tribunal</w:t>
            </w:r>
          </w:p>
          <w:p w14:paraId="51E9D1C5" w14:textId="77777777" w:rsidR="006A7BB9" w:rsidRPr="00A91FB5" w:rsidRDefault="00C66E94"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C66E94">
              <w:rPr>
                <w:rFonts w:cs="Arial"/>
                <w:sz w:val="22"/>
                <w:szCs w:val="22"/>
                <w:lang w:eastAsia="en-AU"/>
              </w:rPr>
              <w:t>Records relating to the Anti-Discrimination Tribunal</w:t>
            </w:r>
            <w:r>
              <w:rPr>
                <w:rFonts w:cs="Arial"/>
                <w:sz w:val="22"/>
                <w:szCs w:val="22"/>
                <w:lang w:eastAsia="en-AU"/>
              </w:rPr>
              <w:t>.</w:t>
            </w:r>
          </w:p>
        </w:tc>
        <w:tc>
          <w:tcPr>
            <w:tcW w:w="672" w:type="pct"/>
          </w:tcPr>
          <w:p w14:paraId="12214A03" w14:textId="2C7773D6" w:rsidR="006A7BB9" w:rsidRPr="00A91FB5" w:rsidRDefault="00281864" w:rsidP="00E55097">
            <w:pPr>
              <w:pStyle w:val="Table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1991</w:t>
            </w:r>
            <w:r w:rsidR="008974D0">
              <w:rPr>
                <w:sz w:val="22"/>
                <w:szCs w:val="22"/>
              </w:rPr>
              <w:t xml:space="preserve"> </w:t>
            </w:r>
            <w:r w:rsidR="00E55097">
              <w:rPr>
                <w:sz w:val="22"/>
                <w:szCs w:val="22"/>
              </w:rPr>
              <w:t>–</w:t>
            </w:r>
            <w:r w:rsidR="008974D0">
              <w:rPr>
                <w:sz w:val="22"/>
                <w:szCs w:val="22"/>
              </w:rPr>
              <w:t xml:space="preserve"> </w:t>
            </w:r>
            <w:r>
              <w:rPr>
                <w:sz w:val="22"/>
                <w:szCs w:val="22"/>
              </w:rPr>
              <w:t>2009</w:t>
            </w:r>
          </w:p>
        </w:tc>
        <w:tc>
          <w:tcPr>
            <w:tcW w:w="706" w:type="pct"/>
          </w:tcPr>
          <w:p w14:paraId="22210798" w14:textId="77777777" w:rsidR="006A7BB9" w:rsidRPr="00A91FB5" w:rsidRDefault="00C66E94" w:rsidP="00C613C3">
            <w:pPr>
              <w:pStyle w:val="Table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Temporary</w:t>
            </w:r>
          </w:p>
        </w:tc>
        <w:tc>
          <w:tcPr>
            <w:tcW w:w="1242" w:type="pct"/>
          </w:tcPr>
          <w:p w14:paraId="682D1607" w14:textId="77777777" w:rsidR="006A7BB9" w:rsidRPr="00A91FB5" w:rsidRDefault="00C66E94"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C66E94">
              <w:rPr>
                <w:rFonts w:cs="Arial"/>
                <w:sz w:val="22"/>
                <w:szCs w:val="22"/>
              </w:rPr>
              <w:t>Retain for 12 years after last action and finalisation of all appeal processes.</w:t>
            </w:r>
          </w:p>
        </w:tc>
      </w:tr>
      <w:tr w:rsidR="006208F4" w:rsidRPr="00A91FB5" w14:paraId="3063603B" w14:textId="77777777" w:rsidTr="0086104D">
        <w:tblPrEx>
          <w:tblCellMar>
            <w:top w:w="57" w:type="dxa"/>
            <w:left w:w="119" w:type="dxa"/>
            <w:right w:w="119" w:type="dxa"/>
          </w:tblCellMar>
        </w:tblPrEx>
        <w:tc>
          <w:tcPr>
            <w:cnfStyle w:val="001000000000" w:firstRow="0" w:lastRow="0" w:firstColumn="1" w:lastColumn="0" w:oddVBand="0" w:evenVBand="0" w:oddHBand="0" w:evenHBand="0" w:firstRowFirstColumn="0" w:firstRowLastColumn="0" w:lastRowFirstColumn="0" w:lastRowLastColumn="0"/>
            <w:tcW w:w="402" w:type="pct"/>
          </w:tcPr>
          <w:p w14:paraId="00269BCD" w14:textId="3B238C6C" w:rsidR="006A7BB9" w:rsidRPr="00A91FB5" w:rsidRDefault="005B049B" w:rsidP="00C613C3">
            <w:pPr>
              <w:pStyle w:val="Tabletext"/>
              <w:spacing w:before="60" w:after="60" w:line="240" w:lineRule="auto"/>
              <w:rPr>
                <w:sz w:val="22"/>
                <w:szCs w:val="22"/>
              </w:rPr>
            </w:pPr>
            <w:r>
              <w:rPr>
                <w:sz w:val="22"/>
                <w:szCs w:val="22"/>
              </w:rPr>
              <w:t>3</w:t>
            </w:r>
            <w:r w:rsidR="009E42C5">
              <w:rPr>
                <w:sz w:val="22"/>
                <w:szCs w:val="22"/>
              </w:rPr>
              <w:t>.1.2</w:t>
            </w:r>
          </w:p>
        </w:tc>
        <w:tc>
          <w:tcPr>
            <w:tcW w:w="1978" w:type="pct"/>
          </w:tcPr>
          <w:p w14:paraId="6433B447" w14:textId="77777777" w:rsidR="00C66E94" w:rsidRPr="00C66E94" w:rsidRDefault="00C66E94" w:rsidP="00C613C3">
            <w:pPr>
              <w:spacing w:before="60" w:line="240" w:lineRule="auto"/>
              <w:cnfStyle w:val="000000000000" w:firstRow="0" w:lastRow="0" w:firstColumn="0" w:lastColumn="0" w:oddVBand="0" w:evenVBand="0" w:oddHBand="0" w:evenHBand="0" w:firstRowFirstColumn="0" w:firstRowLastColumn="0" w:lastRowFirstColumn="0" w:lastRowLastColumn="0"/>
              <w:rPr>
                <w:rFonts w:cs="Arial"/>
                <w:i/>
                <w:szCs w:val="22"/>
                <w:lang w:eastAsia="en-AU"/>
              </w:rPr>
            </w:pPr>
            <w:r w:rsidRPr="00C66E94">
              <w:rPr>
                <w:rFonts w:cs="Arial"/>
                <w:b/>
                <w:i/>
                <w:szCs w:val="22"/>
              </w:rPr>
              <w:t>Appeal Tribunal (levee banks) under the Local Government Act 1993</w:t>
            </w:r>
          </w:p>
          <w:p w14:paraId="2E97F976" w14:textId="77777777" w:rsidR="006A7BB9" w:rsidRPr="00A91FB5" w:rsidRDefault="00C66E94"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C66E94">
              <w:rPr>
                <w:rFonts w:cs="Arial"/>
                <w:sz w:val="22"/>
                <w:szCs w:val="22"/>
                <w:lang w:eastAsia="en-AU"/>
              </w:rPr>
              <w:t xml:space="preserve">Records relating to the Appeal Tribunal (levee banks) under the </w:t>
            </w:r>
            <w:r w:rsidRPr="00EB7920">
              <w:rPr>
                <w:rFonts w:cs="Arial"/>
                <w:i/>
                <w:sz w:val="22"/>
                <w:szCs w:val="22"/>
                <w:lang w:eastAsia="en-AU"/>
              </w:rPr>
              <w:t>Local Government Act 1993</w:t>
            </w:r>
            <w:r w:rsidRPr="00C66E94">
              <w:rPr>
                <w:rFonts w:cs="Arial"/>
                <w:sz w:val="22"/>
                <w:szCs w:val="22"/>
                <w:lang w:eastAsia="en-AU"/>
              </w:rPr>
              <w:t>.</w:t>
            </w:r>
          </w:p>
        </w:tc>
        <w:tc>
          <w:tcPr>
            <w:tcW w:w="672" w:type="pct"/>
          </w:tcPr>
          <w:p w14:paraId="1749FAC9" w14:textId="4FA10351" w:rsidR="006A7BB9" w:rsidRPr="00A91FB5" w:rsidRDefault="000A4DC3" w:rsidP="00C613C3">
            <w:pPr>
              <w:pStyle w:val="Table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1993 – 2009</w:t>
            </w:r>
          </w:p>
        </w:tc>
        <w:tc>
          <w:tcPr>
            <w:tcW w:w="706" w:type="pct"/>
          </w:tcPr>
          <w:p w14:paraId="0C26BF79" w14:textId="77777777" w:rsidR="006A7BB9" w:rsidRPr="00A91FB5" w:rsidRDefault="00C66E94" w:rsidP="00C613C3">
            <w:pPr>
              <w:pStyle w:val="Table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Temporary</w:t>
            </w:r>
          </w:p>
        </w:tc>
        <w:tc>
          <w:tcPr>
            <w:tcW w:w="1242" w:type="pct"/>
          </w:tcPr>
          <w:p w14:paraId="458C3F40" w14:textId="77777777" w:rsidR="006A7BB9" w:rsidRPr="00A91FB5" w:rsidRDefault="00C66E94"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C66E94">
              <w:rPr>
                <w:rFonts w:cs="Arial"/>
                <w:sz w:val="22"/>
                <w:szCs w:val="22"/>
              </w:rPr>
              <w:t>Retain for 12 years after last action and finalisation of all appeal processes</w:t>
            </w:r>
            <w:r>
              <w:rPr>
                <w:rFonts w:cs="Arial"/>
                <w:sz w:val="22"/>
                <w:szCs w:val="22"/>
              </w:rPr>
              <w:t>.</w:t>
            </w:r>
          </w:p>
        </w:tc>
      </w:tr>
      <w:tr w:rsidR="006208F4" w:rsidRPr="00A91FB5" w14:paraId="3A157CAB" w14:textId="77777777" w:rsidTr="0086104D">
        <w:tblPrEx>
          <w:tblCellMar>
            <w:top w:w="57" w:type="dxa"/>
            <w:left w:w="119" w:type="dxa"/>
            <w:right w:w="119" w:type="dxa"/>
          </w:tblCellMar>
        </w:tblPrEx>
        <w:tc>
          <w:tcPr>
            <w:cnfStyle w:val="001000000000" w:firstRow="0" w:lastRow="0" w:firstColumn="1" w:lastColumn="0" w:oddVBand="0" w:evenVBand="0" w:oddHBand="0" w:evenHBand="0" w:firstRowFirstColumn="0" w:firstRowLastColumn="0" w:lastRowFirstColumn="0" w:lastRowLastColumn="0"/>
            <w:tcW w:w="402" w:type="pct"/>
          </w:tcPr>
          <w:p w14:paraId="6F6F7313" w14:textId="5DCED496" w:rsidR="006A7BB9" w:rsidRPr="00A91FB5" w:rsidRDefault="005B049B" w:rsidP="00C613C3">
            <w:pPr>
              <w:pStyle w:val="Tabletext"/>
              <w:spacing w:before="60" w:after="60" w:line="240" w:lineRule="auto"/>
              <w:rPr>
                <w:sz w:val="22"/>
                <w:szCs w:val="22"/>
              </w:rPr>
            </w:pPr>
            <w:r>
              <w:rPr>
                <w:sz w:val="22"/>
                <w:szCs w:val="22"/>
              </w:rPr>
              <w:t>3</w:t>
            </w:r>
            <w:r w:rsidR="009E42C5">
              <w:rPr>
                <w:sz w:val="22"/>
                <w:szCs w:val="22"/>
              </w:rPr>
              <w:t>.1.3</w:t>
            </w:r>
          </w:p>
        </w:tc>
        <w:tc>
          <w:tcPr>
            <w:tcW w:w="1978" w:type="pct"/>
          </w:tcPr>
          <w:p w14:paraId="219E9039" w14:textId="77777777" w:rsidR="00C66E94" w:rsidRPr="00C66E94" w:rsidRDefault="00C66E94" w:rsidP="00C613C3">
            <w:pPr>
              <w:spacing w:before="60" w:line="240" w:lineRule="auto"/>
              <w:cnfStyle w:val="000000000000" w:firstRow="0" w:lastRow="0" w:firstColumn="0" w:lastColumn="0" w:oddVBand="0" w:evenVBand="0" w:oddHBand="0" w:evenHBand="0" w:firstRowFirstColumn="0" w:firstRowLastColumn="0" w:lastRowFirstColumn="0" w:lastRowLastColumn="0"/>
              <w:rPr>
                <w:rFonts w:cs="Arial"/>
                <w:b/>
                <w:i/>
                <w:szCs w:val="22"/>
                <w:lang w:eastAsia="en-AU"/>
              </w:rPr>
            </w:pPr>
            <w:r w:rsidRPr="00C66E94">
              <w:rPr>
                <w:rFonts w:cs="Arial"/>
                <w:b/>
                <w:i/>
                <w:szCs w:val="22"/>
                <w:lang w:eastAsia="en-AU"/>
              </w:rPr>
              <w:t>Children Services Tribunal</w:t>
            </w:r>
          </w:p>
          <w:p w14:paraId="5B0F98F9" w14:textId="77777777" w:rsidR="006A7BB9" w:rsidRPr="00A91FB5" w:rsidRDefault="00C66E94"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C66E94">
              <w:rPr>
                <w:rFonts w:cs="Arial"/>
                <w:sz w:val="22"/>
                <w:szCs w:val="22"/>
                <w:lang w:eastAsia="en-AU"/>
              </w:rPr>
              <w:t>Records relating to the Children Services Tribunal</w:t>
            </w:r>
            <w:r>
              <w:rPr>
                <w:rFonts w:cs="Arial"/>
                <w:sz w:val="22"/>
                <w:szCs w:val="22"/>
                <w:lang w:eastAsia="en-AU"/>
              </w:rPr>
              <w:t>.</w:t>
            </w:r>
          </w:p>
        </w:tc>
        <w:tc>
          <w:tcPr>
            <w:tcW w:w="672" w:type="pct"/>
          </w:tcPr>
          <w:p w14:paraId="006C6021" w14:textId="0A23E588" w:rsidR="006A7BB9" w:rsidRPr="00A91FB5" w:rsidRDefault="000A4DC3" w:rsidP="00E55097">
            <w:pPr>
              <w:pStyle w:val="Table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2001</w:t>
            </w:r>
            <w:r w:rsidR="008974D0">
              <w:rPr>
                <w:sz w:val="22"/>
                <w:szCs w:val="22"/>
              </w:rPr>
              <w:t xml:space="preserve"> </w:t>
            </w:r>
            <w:r w:rsidR="00E55097">
              <w:rPr>
                <w:sz w:val="22"/>
                <w:szCs w:val="22"/>
              </w:rPr>
              <w:t>–</w:t>
            </w:r>
            <w:r>
              <w:rPr>
                <w:sz w:val="22"/>
                <w:szCs w:val="22"/>
              </w:rPr>
              <w:t xml:space="preserve"> 2009</w:t>
            </w:r>
          </w:p>
        </w:tc>
        <w:tc>
          <w:tcPr>
            <w:tcW w:w="706" w:type="pct"/>
          </w:tcPr>
          <w:p w14:paraId="58B07308" w14:textId="77777777" w:rsidR="006A7BB9" w:rsidRPr="00A91FB5" w:rsidRDefault="00C66E94" w:rsidP="00C613C3">
            <w:pPr>
              <w:pStyle w:val="Table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Permanent</w:t>
            </w:r>
          </w:p>
        </w:tc>
        <w:tc>
          <w:tcPr>
            <w:tcW w:w="1242" w:type="pct"/>
          </w:tcPr>
          <w:p w14:paraId="0439D7B9" w14:textId="77777777" w:rsidR="006A7BB9" w:rsidRPr="00A91FB5" w:rsidRDefault="00C66E94"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Retain permanently.</w:t>
            </w:r>
          </w:p>
        </w:tc>
      </w:tr>
      <w:tr w:rsidR="006208F4" w:rsidRPr="00A91FB5" w14:paraId="07130412" w14:textId="77777777" w:rsidTr="0086104D">
        <w:tblPrEx>
          <w:tblCellMar>
            <w:top w:w="57" w:type="dxa"/>
            <w:left w:w="119" w:type="dxa"/>
            <w:right w:w="119" w:type="dxa"/>
          </w:tblCellMar>
        </w:tblPrEx>
        <w:tc>
          <w:tcPr>
            <w:cnfStyle w:val="001000000000" w:firstRow="0" w:lastRow="0" w:firstColumn="1" w:lastColumn="0" w:oddVBand="0" w:evenVBand="0" w:oddHBand="0" w:evenHBand="0" w:firstRowFirstColumn="0" w:firstRowLastColumn="0" w:lastRowFirstColumn="0" w:lastRowLastColumn="0"/>
            <w:tcW w:w="402" w:type="pct"/>
          </w:tcPr>
          <w:p w14:paraId="655C8941" w14:textId="62BE7806" w:rsidR="006A7BB9" w:rsidRPr="00A91FB5" w:rsidRDefault="005B049B" w:rsidP="00C613C3">
            <w:pPr>
              <w:pStyle w:val="Tabletext"/>
              <w:spacing w:before="60" w:after="60" w:line="240" w:lineRule="auto"/>
              <w:rPr>
                <w:sz w:val="22"/>
                <w:szCs w:val="22"/>
              </w:rPr>
            </w:pPr>
            <w:r>
              <w:rPr>
                <w:sz w:val="22"/>
                <w:szCs w:val="22"/>
              </w:rPr>
              <w:t>3</w:t>
            </w:r>
            <w:r w:rsidR="009E42C5">
              <w:rPr>
                <w:sz w:val="22"/>
                <w:szCs w:val="22"/>
              </w:rPr>
              <w:t>.1.4</w:t>
            </w:r>
          </w:p>
        </w:tc>
        <w:tc>
          <w:tcPr>
            <w:tcW w:w="1978" w:type="pct"/>
          </w:tcPr>
          <w:p w14:paraId="2A0A7A5A" w14:textId="77777777" w:rsidR="00AA02CC" w:rsidRPr="00AA02CC" w:rsidRDefault="00AA02CC" w:rsidP="00C613C3">
            <w:pPr>
              <w:spacing w:before="60" w:line="240" w:lineRule="auto"/>
              <w:cnfStyle w:val="000000000000" w:firstRow="0" w:lastRow="0" w:firstColumn="0" w:lastColumn="0" w:oddVBand="0" w:evenVBand="0" w:oddHBand="0" w:evenHBand="0" w:firstRowFirstColumn="0" w:firstRowLastColumn="0" w:lastRowFirstColumn="0" w:lastRowLastColumn="0"/>
              <w:rPr>
                <w:rFonts w:cs="Arial"/>
                <w:b/>
                <w:i/>
                <w:szCs w:val="22"/>
                <w:lang w:eastAsia="en-AU"/>
              </w:rPr>
            </w:pPr>
            <w:r w:rsidRPr="00AA02CC">
              <w:rPr>
                <w:rFonts w:cs="Arial"/>
                <w:b/>
                <w:i/>
                <w:szCs w:val="22"/>
              </w:rPr>
              <w:t>Commercial and Consumer Tribunal</w:t>
            </w:r>
          </w:p>
          <w:p w14:paraId="6F048C35" w14:textId="77777777" w:rsidR="006A7BB9" w:rsidRPr="00A91FB5" w:rsidRDefault="00AA02CC"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AA02CC">
              <w:rPr>
                <w:rFonts w:cs="Arial"/>
                <w:sz w:val="22"/>
                <w:szCs w:val="22"/>
                <w:lang w:eastAsia="en-AU"/>
              </w:rPr>
              <w:t>Records relating to the Commercial and Consumer Tribunal.</w:t>
            </w:r>
          </w:p>
        </w:tc>
        <w:tc>
          <w:tcPr>
            <w:tcW w:w="672" w:type="pct"/>
          </w:tcPr>
          <w:p w14:paraId="1C83D254" w14:textId="30A43E30" w:rsidR="006A7BB9" w:rsidRPr="00A91FB5" w:rsidRDefault="000A4DC3" w:rsidP="00E55097">
            <w:pPr>
              <w:pStyle w:val="Table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2003 </w:t>
            </w:r>
            <w:r w:rsidR="00E55097">
              <w:rPr>
                <w:sz w:val="22"/>
                <w:szCs w:val="22"/>
              </w:rPr>
              <w:t>–</w:t>
            </w:r>
            <w:r>
              <w:rPr>
                <w:sz w:val="22"/>
                <w:szCs w:val="22"/>
              </w:rPr>
              <w:t xml:space="preserve"> 2009</w:t>
            </w:r>
          </w:p>
        </w:tc>
        <w:tc>
          <w:tcPr>
            <w:tcW w:w="706" w:type="pct"/>
          </w:tcPr>
          <w:p w14:paraId="0828AAC6" w14:textId="77777777" w:rsidR="006A7BB9" w:rsidRPr="00A91FB5" w:rsidRDefault="00AA02CC" w:rsidP="00C613C3">
            <w:pPr>
              <w:pStyle w:val="Table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Temporary</w:t>
            </w:r>
          </w:p>
        </w:tc>
        <w:tc>
          <w:tcPr>
            <w:tcW w:w="1242" w:type="pct"/>
          </w:tcPr>
          <w:p w14:paraId="1B2C21A2" w14:textId="77777777" w:rsidR="006A7BB9" w:rsidRPr="00A91FB5" w:rsidRDefault="00AA02CC"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C66E94">
              <w:rPr>
                <w:rFonts w:cs="Arial"/>
                <w:sz w:val="22"/>
                <w:szCs w:val="22"/>
              </w:rPr>
              <w:t>Retain for 12 years after last action and finalisation of all appeal processes</w:t>
            </w:r>
            <w:r>
              <w:rPr>
                <w:rFonts w:cs="Arial"/>
                <w:sz w:val="22"/>
                <w:szCs w:val="22"/>
              </w:rPr>
              <w:t>.</w:t>
            </w:r>
          </w:p>
        </w:tc>
      </w:tr>
      <w:tr w:rsidR="006208F4" w:rsidRPr="00A91FB5" w14:paraId="45DB0F98" w14:textId="77777777" w:rsidTr="0086104D">
        <w:tblPrEx>
          <w:tblCellMar>
            <w:top w:w="57" w:type="dxa"/>
            <w:left w:w="119" w:type="dxa"/>
            <w:right w:w="119" w:type="dxa"/>
          </w:tblCellMar>
        </w:tblPrEx>
        <w:tc>
          <w:tcPr>
            <w:cnfStyle w:val="001000000000" w:firstRow="0" w:lastRow="0" w:firstColumn="1" w:lastColumn="0" w:oddVBand="0" w:evenVBand="0" w:oddHBand="0" w:evenHBand="0" w:firstRowFirstColumn="0" w:firstRowLastColumn="0" w:lastRowFirstColumn="0" w:lastRowLastColumn="0"/>
            <w:tcW w:w="402" w:type="pct"/>
          </w:tcPr>
          <w:p w14:paraId="7F8FCD33" w14:textId="400F6FD9" w:rsidR="006A7BB9" w:rsidRPr="00A91FB5" w:rsidRDefault="005B049B" w:rsidP="00C613C3">
            <w:pPr>
              <w:pStyle w:val="Tabletext"/>
              <w:spacing w:before="60" w:after="60" w:line="240" w:lineRule="auto"/>
              <w:rPr>
                <w:sz w:val="22"/>
                <w:szCs w:val="22"/>
              </w:rPr>
            </w:pPr>
            <w:r>
              <w:rPr>
                <w:sz w:val="22"/>
                <w:szCs w:val="22"/>
              </w:rPr>
              <w:t>3</w:t>
            </w:r>
            <w:r w:rsidR="009E42C5">
              <w:rPr>
                <w:sz w:val="22"/>
                <w:szCs w:val="22"/>
              </w:rPr>
              <w:t>.1.5</w:t>
            </w:r>
          </w:p>
        </w:tc>
        <w:tc>
          <w:tcPr>
            <w:tcW w:w="1978" w:type="pct"/>
          </w:tcPr>
          <w:p w14:paraId="4AC0133D" w14:textId="77777777" w:rsidR="00AA02CC" w:rsidRPr="00AA02CC" w:rsidRDefault="00AA02CC" w:rsidP="00C613C3">
            <w:pPr>
              <w:spacing w:before="60" w:line="240" w:lineRule="auto"/>
              <w:cnfStyle w:val="000000000000" w:firstRow="0" w:lastRow="0" w:firstColumn="0" w:lastColumn="0" w:oddVBand="0" w:evenVBand="0" w:oddHBand="0" w:evenHBand="0" w:firstRowFirstColumn="0" w:firstRowLastColumn="0" w:lastRowFirstColumn="0" w:lastRowLastColumn="0"/>
              <w:rPr>
                <w:rFonts w:cs="Arial"/>
                <w:b/>
                <w:i/>
                <w:szCs w:val="22"/>
                <w:lang w:eastAsia="en-AU"/>
              </w:rPr>
            </w:pPr>
            <w:r w:rsidRPr="00AA02CC">
              <w:rPr>
                <w:rFonts w:cs="Arial"/>
                <w:b/>
                <w:i/>
                <w:szCs w:val="22"/>
              </w:rPr>
              <w:t>Fisheries Tribunal</w:t>
            </w:r>
          </w:p>
          <w:p w14:paraId="45AEF2C9" w14:textId="77777777" w:rsidR="006A7BB9" w:rsidRPr="00A91FB5" w:rsidRDefault="00AA02CC"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AA02CC">
              <w:rPr>
                <w:rFonts w:cs="Arial"/>
                <w:sz w:val="22"/>
                <w:szCs w:val="22"/>
                <w:lang w:eastAsia="en-AU"/>
              </w:rPr>
              <w:t>Records relating to the Fisheries Tribunal.</w:t>
            </w:r>
          </w:p>
        </w:tc>
        <w:tc>
          <w:tcPr>
            <w:tcW w:w="672" w:type="pct"/>
          </w:tcPr>
          <w:p w14:paraId="63A4EAE0" w14:textId="630B66D0" w:rsidR="006A7BB9" w:rsidRPr="00A91FB5" w:rsidRDefault="007B5A8A" w:rsidP="007B5A8A">
            <w:pPr>
              <w:pStyle w:val="Table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1994 – 2009</w:t>
            </w:r>
          </w:p>
        </w:tc>
        <w:tc>
          <w:tcPr>
            <w:tcW w:w="706" w:type="pct"/>
          </w:tcPr>
          <w:p w14:paraId="48D375C1" w14:textId="77777777" w:rsidR="006A7BB9" w:rsidRPr="00A91FB5" w:rsidRDefault="00AA02CC" w:rsidP="00C613C3">
            <w:pPr>
              <w:pStyle w:val="Table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Temporary</w:t>
            </w:r>
          </w:p>
        </w:tc>
        <w:tc>
          <w:tcPr>
            <w:tcW w:w="1242" w:type="pct"/>
          </w:tcPr>
          <w:p w14:paraId="735959E8" w14:textId="77777777" w:rsidR="006A7BB9" w:rsidRPr="00A91FB5" w:rsidRDefault="00AA02CC"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AA02CC">
              <w:rPr>
                <w:rFonts w:cs="Arial"/>
                <w:sz w:val="22"/>
                <w:szCs w:val="22"/>
                <w:lang w:eastAsia="en-AU"/>
              </w:rPr>
              <w:t>Retain for 12 years after expiry or last action.</w:t>
            </w:r>
          </w:p>
        </w:tc>
      </w:tr>
      <w:tr w:rsidR="006208F4" w:rsidRPr="00A91FB5" w14:paraId="7C978145" w14:textId="77777777" w:rsidTr="0086104D">
        <w:tblPrEx>
          <w:tblCellMar>
            <w:top w:w="57" w:type="dxa"/>
            <w:left w:w="119" w:type="dxa"/>
            <w:right w:w="119" w:type="dxa"/>
          </w:tblCellMar>
        </w:tblPrEx>
        <w:tc>
          <w:tcPr>
            <w:cnfStyle w:val="001000000000" w:firstRow="0" w:lastRow="0" w:firstColumn="1" w:lastColumn="0" w:oddVBand="0" w:evenVBand="0" w:oddHBand="0" w:evenHBand="0" w:firstRowFirstColumn="0" w:firstRowLastColumn="0" w:lastRowFirstColumn="0" w:lastRowLastColumn="0"/>
            <w:tcW w:w="402" w:type="pct"/>
          </w:tcPr>
          <w:p w14:paraId="7FF20CDC" w14:textId="2B42A05D" w:rsidR="00AA02CC" w:rsidRPr="00A91FB5" w:rsidRDefault="005B049B" w:rsidP="00C613C3">
            <w:pPr>
              <w:pStyle w:val="Tabletext"/>
              <w:spacing w:before="60" w:after="60" w:line="240" w:lineRule="auto"/>
              <w:rPr>
                <w:sz w:val="22"/>
                <w:szCs w:val="22"/>
              </w:rPr>
            </w:pPr>
            <w:r>
              <w:rPr>
                <w:sz w:val="22"/>
                <w:szCs w:val="22"/>
              </w:rPr>
              <w:t>3</w:t>
            </w:r>
            <w:r w:rsidR="009E42C5">
              <w:rPr>
                <w:sz w:val="22"/>
                <w:szCs w:val="22"/>
              </w:rPr>
              <w:t>.1.6</w:t>
            </w:r>
          </w:p>
        </w:tc>
        <w:tc>
          <w:tcPr>
            <w:tcW w:w="1978" w:type="pct"/>
          </w:tcPr>
          <w:p w14:paraId="03E4618A" w14:textId="77777777" w:rsidR="00AA02CC" w:rsidRPr="00AA02CC" w:rsidRDefault="00AA02CC" w:rsidP="00C613C3">
            <w:pPr>
              <w:spacing w:before="60" w:line="240" w:lineRule="auto"/>
              <w:cnfStyle w:val="000000000000" w:firstRow="0" w:lastRow="0" w:firstColumn="0" w:lastColumn="0" w:oddVBand="0" w:evenVBand="0" w:oddHBand="0" w:evenHBand="0" w:firstRowFirstColumn="0" w:firstRowLastColumn="0" w:lastRowFirstColumn="0" w:lastRowLastColumn="0"/>
              <w:rPr>
                <w:rFonts w:cs="Arial"/>
                <w:b/>
                <w:i/>
                <w:szCs w:val="22"/>
              </w:rPr>
            </w:pPr>
            <w:r w:rsidRPr="00AA02CC">
              <w:rPr>
                <w:rFonts w:cs="Arial"/>
                <w:b/>
                <w:i/>
                <w:szCs w:val="22"/>
              </w:rPr>
              <w:t>Guardianship and Administration Tribunal</w:t>
            </w:r>
          </w:p>
          <w:p w14:paraId="6B7EAA4C" w14:textId="77777777" w:rsidR="00AA02CC" w:rsidRPr="00EE50E0" w:rsidRDefault="00AA02CC" w:rsidP="00C613C3">
            <w:pPr>
              <w:spacing w:before="60" w:line="240" w:lineRule="auto"/>
              <w:cnfStyle w:val="000000000000" w:firstRow="0" w:lastRow="0" w:firstColumn="0" w:lastColumn="0" w:oddVBand="0" w:evenVBand="0" w:oddHBand="0" w:evenHBand="0" w:firstRowFirstColumn="0" w:firstRowLastColumn="0" w:lastRowFirstColumn="0" w:lastRowLastColumn="0"/>
              <w:rPr>
                <w:rFonts w:cs="Arial"/>
                <w:szCs w:val="22"/>
                <w:lang w:eastAsia="en-AU"/>
              </w:rPr>
            </w:pPr>
            <w:r w:rsidRPr="00EE50E0">
              <w:rPr>
                <w:rFonts w:cs="Arial"/>
                <w:szCs w:val="22"/>
              </w:rPr>
              <w:t>Records relating to the Guardianship and Administration Tribunal.</w:t>
            </w:r>
          </w:p>
        </w:tc>
        <w:tc>
          <w:tcPr>
            <w:tcW w:w="672" w:type="pct"/>
          </w:tcPr>
          <w:p w14:paraId="7558042A" w14:textId="1291C41A" w:rsidR="00AA02CC" w:rsidRPr="00A91FB5" w:rsidRDefault="00920E8A" w:rsidP="00C613C3">
            <w:pPr>
              <w:pStyle w:val="Table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2000 – 2009</w:t>
            </w:r>
          </w:p>
        </w:tc>
        <w:tc>
          <w:tcPr>
            <w:tcW w:w="706" w:type="pct"/>
          </w:tcPr>
          <w:p w14:paraId="4CA4C873" w14:textId="77777777" w:rsidR="00AA02CC" w:rsidRPr="00A91FB5" w:rsidRDefault="00AA02CC" w:rsidP="00C613C3">
            <w:pPr>
              <w:pStyle w:val="Table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Permanent</w:t>
            </w:r>
          </w:p>
        </w:tc>
        <w:tc>
          <w:tcPr>
            <w:tcW w:w="1242" w:type="pct"/>
          </w:tcPr>
          <w:p w14:paraId="68AAD418" w14:textId="77777777" w:rsidR="00AA02CC" w:rsidRPr="00A91FB5" w:rsidRDefault="00AA02CC"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Retain permanently.</w:t>
            </w:r>
          </w:p>
        </w:tc>
      </w:tr>
      <w:tr w:rsidR="006208F4" w:rsidRPr="00A91FB5" w14:paraId="34A0A2CA" w14:textId="77777777" w:rsidTr="0086104D">
        <w:tblPrEx>
          <w:tblCellMar>
            <w:top w:w="57" w:type="dxa"/>
            <w:left w:w="119" w:type="dxa"/>
            <w:right w:w="119" w:type="dxa"/>
          </w:tblCellMar>
        </w:tblPrEx>
        <w:tc>
          <w:tcPr>
            <w:cnfStyle w:val="001000000000" w:firstRow="0" w:lastRow="0" w:firstColumn="1" w:lastColumn="0" w:oddVBand="0" w:evenVBand="0" w:oddHBand="0" w:evenHBand="0" w:firstRowFirstColumn="0" w:firstRowLastColumn="0" w:lastRowFirstColumn="0" w:lastRowLastColumn="0"/>
            <w:tcW w:w="402" w:type="pct"/>
          </w:tcPr>
          <w:p w14:paraId="5B472B20" w14:textId="360EE308" w:rsidR="00AA02CC" w:rsidRPr="00A91FB5" w:rsidRDefault="005B049B" w:rsidP="00C613C3">
            <w:pPr>
              <w:pStyle w:val="Tabletext"/>
              <w:spacing w:before="60" w:after="60" w:line="240" w:lineRule="auto"/>
              <w:rPr>
                <w:sz w:val="22"/>
                <w:szCs w:val="22"/>
              </w:rPr>
            </w:pPr>
            <w:r>
              <w:rPr>
                <w:sz w:val="22"/>
                <w:szCs w:val="22"/>
              </w:rPr>
              <w:lastRenderedPageBreak/>
              <w:t>3</w:t>
            </w:r>
            <w:r w:rsidR="009E42C5">
              <w:rPr>
                <w:sz w:val="22"/>
                <w:szCs w:val="22"/>
              </w:rPr>
              <w:t>.1.7</w:t>
            </w:r>
          </w:p>
        </w:tc>
        <w:tc>
          <w:tcPr>
            <w:tcW w:w="1978" w:type="pct"/>
          </w:tcPr>
          <w:p w14:paraId="544E5C97" w14:textId="77777777" w:rsidR="00AA02CC" w:rsidRPr="00AA02CC" w:rsidRDefault="00AA02CC" w:rsidP="00C613C3">
            <w:pPr>
              <w:spacing w:before="60" w:line="240" w:lineRule="auto"/>
              <w:cnfStyle w:val="000000000000" w:firstRow="0" w:lastRow="0" w:firstColumn="0" w:lastColumn="0" w:oddVBand="0" w:evenVBand="0" w:oddHBand="0" w:evenHBand="0" w:firstRowFirstColumn="0" w:firstRowLastColumn="0" w:lastRowFirstColumn="0" w:lastRowLastColumn="0"/>
              <w:rPr>
                <w:rFonts w:cs="Arial"/>
                <w:b/>
                <w:i/>
                <w:szCs w:val="22"/>
                <w:lang w:eastAsia="en-AU"/>
              </w:rPr>
            </w:pPr>
            <w:r w:rsidRPr="00AA02CC">
              <w:rPr>
                <w:rFonts w:cs="Arial"/>
                <w:b/>
                <w:i/>
                <w:szCs w:val="22"/>
                <w:lang w:eastAsia="en-AU"/>
              </w:rPr>
              <w:t>Health Practitioners Tribunal</w:t>
            </w:r>
          </w:p>
          <w:p w14:paraId="5D42F142" w14:textId="77777777" w:rsidR="00AA02CC" w:rsidRPr="00AA02CC" w:rsidRDefault="00AA02CC" w:rsidP="00C613C3">
            <w:pPr>
              <w:spacing w:before="60" w:line="240" w:lineRule="auto"/>
              <w:cnfStyle w:val="000000000000" w:firstRow="0" w:lastRow="0" w:firstColumn="0" w:lastColumn="0" w:oddVBand="0" w:evenVBand="0" w:oddHBand="0" w:evenHBand="0" w:firstRowFirstColumn="0" w:firstRowLastColumn="0" w:lastRowFirstColumn="0" w:lastRowLastColumn="0"/>
              <w:rPr>
                <w:rFonts w:cs="Arial"/>
                <w:b/>
                <w:i/>
                <w:szCs w:val="22"/>
              </w:rPr>
            </w:pPr>
            <w:r w:rsidRPr="00EE50E0">
              <w:rPr>
                <w:rFonts w:cs="Arial"/>
                <w:szCs w:val="22"/>
              </w:rPr>
              <w:t>Records relating to the Health Practitioner Tribunal</w:t>
            </w:r>
            <w:r>
              <w:rPr>
                <w:rFonts w:cs="Arial"/>
                <w:szCs w:val="22"/>
              </w:rPr>
              <w:t>.</w:t>
            </w:r>
          </w:p>
        </w:tc>
        <w:tc>
          <w:tcPr>
            <w:tcW w:w="672" w:type="pct"/>
          </w:tcPr>
          <w:p w14:paraId="6C2E5A19" w14:textId="0222A61C" w:rsidR="00AA02CC" w:rsidRPr="00A91FB5" w:rsidRDefault="00920E8A" w:rsidP="00C613C3">
            <w:pPr>
              <w:pStyle w:val="Table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2000 – 2009</w:t>
            </w:r>
          </w:p>
        </w:tc>
        <w:tc>
          <w:tcPr>
            <w:tcW w:w="706" w:type="pct"/>
          </w:tcPr>
          <w:p w14:paraId="49436B37" w14:textId="77777777" w:rsidR="00AA02CC" w:rsidRDefault="00AA02CC" w:rsidP="00C613C3">
            <w:pPr>
              <w:pStyle w:val="Table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Permanent</w:t>
            </w:r>
          </w:p>
        </w:tc>
        <w:tc>
          <w:tcPr>
            <w:tcW w:w="1242" w:type="pct"/>
          </w:tcPr>
          <w:p w14:paraId="3A74F9D1" w14:textId="77777777" w:rsidR="00AA02CC" w:rsidRDefault="00AA02CC"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Retain permanently.</w:t>
            </w:r>
          </w:p>
        </w:tc>
      </w:tr>
      <w:tr w:rsidR="006208F4" w:rsidRPr="00A91FB5" w14:paraId="6D611668" w14:textId="77777777" w:rsidTr="0086104D">
        <w:tblPrEx>
          <w:tblCellMar>
            <w:top w:w="57" w:type="dxa"/>
            <w:left w:w="119" w:type="dxa"/>
            <w:right w:w="119" w:type="dxa"/>
          </w:tblCellMar>
        </w:tblPrEx>
        <w:tc>
          <w:tcPr>
            <w:cnfStyle w:val="001000000000" w:firstRow="0" w:lastRow="0" w:firstColumn="1" w:lastColumn="0" w:oddVBand="0" w:evenVBand="0" w:oddHBand="0" w:evenHBand="0" w:firstRowFirstColumn="0" w:firstRowLastColumn="0" w:lastRowFirstColumn="0" w:lastRowLastColumn="0"/>
            <w:tcW w:w="402" w:type="pct"/>
          </w:tcPr>
          <w:p w14:paraId="1191ED63" w14:textId="74287C2D" w:rsidR="00AA02CC" w:rsidRPr="00A91FB5" w:rsidRDefault="005B049B" w:rsidP="00C613C3">
            <w:pPr>
              <w:pStyle w:val="Tabletext"/>
              <w:spacing w:before="60" w:after="60" w:line="240" w:lineRule="auto"/>
              <w:rPr>
                <w:sz w:val="22"/>
                <w:szCs w:val="22"/>
              </w:rPr>
            </w:pPr>
            <w:r>
              <w:rPr>
                <w:sz w:val="22"/>
                <w:szCs w:val="22"/>
              </w:rPr>
              <w:t>3</w:t>
            </w:r>
            <w:r w:rsidR="009E42C5">
              <w:rPr>
                <w:sz w:val="22"/>
                <w:szCs w:val="22"/>
              </w:rPr>
              <w:t>.1.8</w:t>
            </w:r>
          </w:p>
        </w:tc>
        <w:tc>
          <w:tcPr>
            <w:tcW w:w="1978" w:type="pct"/>
          </w:tcPr>
          <w:p w14:paraId="264CA5D0" w14:textId="77777777" w:rsidR="00AA02CC" w:rsidRPr="00AA02CC" w:rsidRDefault="00AA02CC" w:rsidP="00C613C3">
            <w:pPr>
              <w:spacing w:before="60" w:line="240" w:lineRule="auto"/>
              <w:cnfStyle w:val="000000000000" w:firstRow="0" w:lastRow="0" w:firstColumn="0" w:lastColumn="0" w:oddVBand="0" w:evenVBand="0" w:oddHBand="0" w:evenHBand="0" w:firstRowFirstColumn="0" w:firstRowLastColumn="0" w:lastRowFirstColumn="0" w:lastRowLastColumn="0"/>
              <w:rPr>
                <w:rFonts w:cs="Arial"/>
                <w:b/>
                <w:i/>
                <w:szCs w:val="22"/>
                <w:lang w:eastAsia="en-AU"/>
              </w:rPr>
            </w:pPr>
            <w:r w:rsidRPr="00AA02CC">
              <w:rPr>
                <w:rFonts w:cs="Arial"/>
                <w:b/>
                <w:i/>
                <w:szCs w:val="22"/>
                <w:lang w:eastAsia="en-AU"/>
              </w:rPr>
              <w:t xml:space="preserve">Independent </w:t>
            </w:r>
            <w:r>
              <w:rPr>
                <w:rFonts w:cs="Arial"/>
                <w:b/>
                <w:i/>
                <w:szCs w:val="22"/>
                <w:lang w:eastAsia="en-AU"/>
              </w:rPr>
              <w:t>a</w:t>
            </w:r>
            <w:r w:rsidRPr="00AA02CC">
              <w:rPr>
                <w:rFonts w:cs="Arial"/>
                <w:b/>
                <w:i/>
                <w:szCs w:val="22"/>
                <w:lang w:eastAsia="en-AU"/>
              </w:rPr>
              <w:t>ssessor under the Prostitution Act 1999</w:t>
            </w:r>
          </w:p>
          <w:p w14:paraId="6581F4E7" w14:textId="77777777" w:rsidR="00AA02CC" w:rsidRPr="00AA02CC" w:rsidRDefault="00AA02CC" w:rsidP="00C613C3">
            <w:pPr>
              <w:spacing w:before="60" w:line="240" w:lineRule="auto"/>
              <w:cnfStyle w:val="000000000000" w:firstRow="0" w:lastRow="0" w:firstColumn="0" w:lastColumn="0" w:oddVBand="0" w:evenVBand="0" w:oddHBand="0" w:evenHBand="0" w:firstRowFirstColumn="0" w:firstRowLastColumn="0" w:lastRowFirstColumn="0" w:lastRowLastColumn="0"/>
              <w:rPr>
                <w:rFonts w:cs="Arial"/>
                <w:b/>
                <w:i/>
                <w:szCs w:val="22"/>
              </w:rPr>
            </w:pPr>
            <w:r w:rsidRPr="00EE50E0">
              <w:rPr>
                <w:rFonts w:cs="Arial"/>
                <w:szCs w:val="22"/>
              </w:rPr>
              <w:t xml:space="preserve">Records relating to Independent Assessors under the </w:t>
            </w:r>
            <w:r w:rsidRPr="00EE50E0">
              <w:rPr>
                <w:rFonts w:cs="Arial"/>
                <w:i/>
                <w:szCs w:val="22"/>
              </w:rPr>
              <w:t>Prostitution Act 1999</w:t>
            </w:r>
            <w:r w:rsidRPr="00EE50E0">
              <w:rPr>
                <w:rFonts w:cs="Arial"/>
                <w:szCs w:val="22"/>
              </w:rPr>
              <w:t>.</w:t>
            </w:r>
          </w:p>
        </w:tc>
        <w:tc>
          <w:tcPr>
            <w:tcW w:w="672" w:type="pct"/>
          </w:tcPr>
          <w:p w14:paraId="459D21AD" w14:textId="715E83CB" w:rsidR="00AA02CC" w:rsidRPr="00A91FB5" w:rsidRDefault="001262BC" w:rsidP="00C613C3">
            <w:pPr>
              <w:pStyle w:val="Table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2001 – 2009</w:t>
            </w:r>
          </w:p>
        </w:tc>
        <w:tc>
          <w:tcPr>
            <w:tcW w:w="706" w:type="pct"/>
          </w:tcPr>
          <w:p w14:paraId="3821C8EF" w14:textId="77777777" w:rsidR="00AA02CC" w:rsidRDefault="00AA02CC" w:rsidP="00C613C3">
            <w:pPr>
              <w:pStyle w:val="Table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Permanent</w:t>
            </w:r>
          </w:p>
        </w:tc>
        <w:tc>
          <w:tcPr>
            <w:tcW w:w="1242" w:type="pct"/>
          </w:tcPr>
          <w:p w14:paraId="03263F90" w14:textId="77777777" w:rsidR="00AA02CC" w:rsidRDefault="00AA02CC"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Retain permanently.</w:t>
            </w:r>
          </w:p>
        </w:tc>
      </w:tr>
      <w:tr w:rsidR="006208F4" w:rsidRPr="00A91FB5" w14:paraId="687DCA13" w14:textId="77777777" w:rsidTr="0086104D">
        <w:tblPrEx>
          <w:tblCellMar>
            <w:top w:w="57" w:type="dxa"/>
            <w:left w:w="119" w:type="dxa"/>
            <w:right w:w="119" w:type="dxa"/>
          </w:tblCellMar>
        </w:tblPrEx>
        <w:tc>
          <w:tcPr>
            <w:cnfStyle w:val="001000000000" w:firstRow="0" w:lastRow="0" w:firstColumn="1" w:lastColumn="0" w:oddVBand="0" w:evenVBand="0" w:oddHBand="0" w:evenHBand="0" w:firstRowFirstColumn="0" w:firstRowLastColumn="0" w:lastRowFirstColumn="0" w:lastRowLastColumn="0"/>
            <w:tcW w:w="402" w:type="pct"/>
          </w:tcPr>
          <w:p w14:paraId="40A57C3C" w14:textId="5030B51F" w:rsidR="00AA02CC" w:rsidRPr="00A91FB5" w:rsidRDefault="005B049B" w:rsidP="00C613C3">
            <w:pPr>
              <w:pStyle w:val="Tabletext"/>
              <w:spacing w:before="60" w:after="60" w:line="240" w:lineRule="auto"/>
              <w:rPr>
                <w:sz w:val="22"/>
                <w:szCs w:val="22"/>
              </w:rPr>
            </w:pPr>
            <w:r>
              <w:rPr>
                <w:sz w:val="22"/>
                <w:szCs w:val="22"/>
              </w:rPr>
              <w:t>3</w:t>
            </w:r>
            <w:r w:rsidR="009E42C5">
              <w:rPr>
                <w:sz w:val="22"/>
                <w:szCs w:val="22"/>
              </w:rPr>
              <w:t>.1.9</w:t>
            </w:r>
          </w:p>
        </w:tc>
        <w:tc>
          <w:tcPr>
            <w:tcW w:w="1978" w:type="pct"/>
          </w:tcPr>
          <w:p w14:paraId="279BDC4B" w14:textId="77777777" w:rsidR="00AA02CC" w:rsidRPr="00AA02CC" w:rsidRDefault="00AA02CC" w:rsidP="00C613C3">
            <w:pPr>
              <w:spacing w:before="60" w:line="240" w:lineRule="auto"/>
              <w:cnfStyle w:val="000000000000" w:firstRow="0" w:lastRow="0" w:firstColumn="0" w:lastColumn="0" w:oddVBand="0" w:evenVBand="0" w:oddHBand="0" w:evenHBand="0" w:firstRowFirstColumn="0" w:firstRowLastColumn="0" w:lastRowFirstColumn="0" w:lastRowLastColumn="0"/>
              <w:rPr>
                <w:rFonts w:cs="Arial"/>
                <w:b/>
                <w:i/>
                <w:szCs w:val="22"/>
                <w:lang w:eastAsia="en-AU"/>
              </w:rPr>
            </w:pPr>
            <w:r w:rsidRPr="00AA02CC">
              <w:rPr>
                <w:rFonts w:cs="Arial"/>
                <w:b/>
                <w:i/>
                <w:szCs w:val="22"/>
                <w:lang w:eastAsia="en-AU"/>
              </w:rPr>
              <w:t>Legal Practice Tribunal</w:t>
            </w:r>
          </w:p>
          <w:p w14:paraId="215F0290" w14:textId="77777777" w:rsidR="00AA02CC" w:rsidRPr="00AA02CC" w:rsidRDefault="00AA02CC" w:rsidP="00C613C3">
            <w:pPr>
              <w:spacing w:before="60" w:line="240" w:lineRule="auto"/>
              <w:cnfStyle w:val="000000000000" w:firstRow="0" w:lastRow="0" w:firstColumn="0" w:lastColumn="0" w:oddVBand="0" w:evenVBand="0" w:oddHBand="0" w:evenHBand="0" w:firstRowFirstColumn="0" w:firstRowLastColumn="0" w:lastRowFirstColumn="0" w:lastRowLastColumn="0"/>
              <w:rPr>
                <w:rFonts w:cs="Arial"/>
                <w:b/>
                <w:i/>
                <w:szCs w:val="22"/>
              </w:rPr>
            </w:pPr>
            <w:r w:rsidRPr="00EE50E0">
              <w:rPr>
                <w:rFonts w:cs="Arial"/>
                <w:szCs w:val="22"/>
              </w:rPr>
              <w:t>Records relating to the Legal Practice Tribunal.</w:t>
            </w:r>
          </w:p>
        </w:tc>
        <w:tc>
          <w:tcPr>
            <w:tcW w:w="672" w:type="pct"/>
          </w:tcPr>
          <w:p w14:paraId="54F21591" w14:textId="444F3B20" w:rsidR="00AA02CC" w:rsidRPr="00A91FB5" w:rsidRDefault="00CD26F9" w:rsidP="00C613C3">
            <w:pPr>
              <w:pStyle w:val="Table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2004 – 2009</w:t>
            </w:r>
          </w:p>
        </w:tc>
        <w:tc>
          <w:tcPr>
            <w:tcW w:w="706" w:type="pct"/>
          </w:tcPr>
          <w:p w14:paraId="663251E9" w14:textId="77777777" w:rsidR="00AA02CC" w:rsidRDefault="00AA02CC" w:rsidP="00C613C3">
            <w:pPr>
              <w:pStyle w:val="Table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Permanent</w:t>
            </w:r>
          </w:p>
        </w:tc>
        <w:tc>
          <w:tcPr>
            <w:tcW w:w="1242" w:type="pct"/>
          </w:tcPr>
          <w:p w14:paraId="337D499D" w14:textId="77777777" w:rsidR="00AA02CC" w:rsidRDefault="00AA02CC"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Retain permanently.</w:t>
            </w:r>
          </w:p>
        </w:tc>
      </w:tr>
      <w:tr w:rsidR="006208F4" w:rsidRPr="00A91FB5" w14:paraId="4E7C8E4F" w14:textId="77777777" w:rsidTr="0086104D">
        <w:tblPrEx>
          <w:tblCellMar>
            <w:top w:w="57" w:type="dxa"/>
            <w:left w:w="119" w:type="dxa"/>
            <w:right w:w="119" w:type="dxa"/>
          </w:tblCellMar>
        </w:tblPrEx>
        <w:tc>
          <w:tcPr>
            <w:cnfStyle w:val="001000000000" w:firstRow="0" w:lastRow="0" w:firstColumn="1" w:lastColumn="0" w:oddVBand="0" w:evenVBand="0" w:oddHBand="0" w:evenHBand="0" w:firstRowFirstColumn="0" w:firstRowLastColumn="0" w:lastRowFirstColumn="0" w:lastRowLastColumn="0"/>
            <w:tcW w:w="402" w:type="pct"/>
          </w:tcPr>
          <w:p w14:paraId="3CBE2407" w14:textId="77A139F4" w:rsidR="00AA02CC" w:rsidRPr="00A91FB5" w:rsidRDefault="005B049B" w:rsidP="00C613C3">
            <w:pPr>
              <w:pStyle w:val="Tabletext"/>
              <w:spacing w:before="60" w:after="60" w:line="240" w:lineRule="auto"/>
              <w:rPr>
                <w:sz w:val="22"/>
                <w:szCs w:val="22"/>
              </w:rPr>
            </w:pPr>
            <w:r>
              <w:rPr>
                <w:sz w:val="22"/>
                <w:szCs w:val="22"/>
              </w:rPr>
              <w:t>3</w:t>
            </w:r>
            <w:r w:rsidR="009E42C5">
              <w:rPr>
                <w:sz w:val="22"/>
                <w:szCs w:val="22"/>
              </w:rPr>
              <w:t>.1.10</w:t>
            </w:r>
          </w:p>
        </w:tc>
        <w:tc>
          <w:tcPr>
            <w:tcW w:w="1978" w:type="pct"/>
          </w:tcPr>
          <w:p w14:paraId="6578F450" w14:textId="77777777" w:rsidR="00AA02CC" w:rsidRPr="00AA02CC" w:rsidRDefault="00AA02CC" w:rsidP="00C613C3">
            <w:pPr>
              <w:spacing w:before="60" w:line="240" w:lineRule="auto"/>
              <w:cnfStyle w:val="000000000000" w:firstRow="0" w:lastRow="0" w:firstColumn="0" w:lastColumn="0" w:oddVBand="0" w:evenVBand="0" w:oddHBand="0" w:evenHBand="0" w:firstRowFirstColumn="0" w:firstRowLastColumn="0" w:lastRowFirstColumn="0" w:lastRowLastColumn="0"/>
              <w:rPr>
                <w:rFonts w:cs="Arial"/>
                <w:b/>
                <w:i/>
                <w:szCs w:val="22"/>
              </w:rPr>
            </w:pPr>
            <w:r w:rsidRPr="00AA02CC">
              <w:rPr>
                <w:rFonts w:cs="Arial"/>
                <w:b/>
                <w:i/>
                <w:szCs w:val="22"/>
              </w:rPr>
              <w:t>Misconduct Tribunal</w:t>
            </w:r>
          </w:p>
          <w:p w14:paraId="6C417DBF" w14:textId="77777777" w:rsidR="00AA02CC" w:rsidRPr="00A91FB5" w:rsidRDefault="00AA02CC"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AA02CC">
              <w:rPr>
                <w:rFonts w:cs="Arial"/>
                <w:sz w:val="22"/>
                <w:szCs w:val="22"/>
              </w:rPr>
              <w:t>Records relating to the Misconduct Tribunal.</w:t>
            </w:r>
          </w:p>
        </w:tc>
        <w:tc>
          <w:tcPr>
            <w:tcW w:w="672" w:type="pct"/>
          </w:tcPr>
          <w:p w14:paraId="2781FCAD" w14:textId="5F231671" w:rsidR="00AA02CC" w:rsidRPr="00A91FB5" w:rsidRDefault="00CD26F9" w:rsidP="00C613C3">
            <w:pPr>
              <w:pStyle w:val="Table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1997 – 2009</w:t>
            </w:r>
          </w:p>
        </w:tc>
        <w:tc>
          <w:tcPr>
            <w:tcW w:w="706" w:type="pct"/>
          </w:tcPr>
          <w:p w14:paraId="40C74F17" w14:textId="77777777" w:rsidR="00AA02CC" w:rsidRPr="00A91FB5" w:rsidRDefault="00AA02CC" w:rsidP="00C613C3">
            <w:pPr>
              <w:pStyle w:val="Table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Permanent</w:t>
            </w:r>
          </w:p>
        </w:tc>
        <w:tc>
          <w:tcPr>
            <w:tcW w:w="1242" w:type="pct"/>
          </w:tcPr>
          <w:p w14:paraId="393201D1" w14:textId="77777777" w:rsidR="00AA02CC" w:rsidRPr="00A91FB5" w:rsidRDefault="00AA02CC"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Retain permanently.</w:t>
            </w:r>
          </w:p>
        </w:tc>
      </w:tr>
      <w:tr w:rsidR="006208F4" w:rsidRPr="00A91FB5" w14:paraId="30E3DDCB" w14:textId="77777777" w:rsidTr="0086104D">
        <w:tblPrEx>
          <w:tblCellMar>
            <w:top w:w="57" w:type="dxa"/>
            <w:left w:w="119" w:type="dxa"/>
            <w:right w:w="119" w:type="dxa"/>
          </w:tblCellMar>
        </w:tblPrEx>
        <w:tc>
          <w:tcPr>
            <w:cnfStyle w:val="001000000000" w:firstRow="0" w:lastRow="0" w:firstColumn="1" w:lastColumn="0" w:oddVBand="0" w:evenVBand="0" w:oddHBand="0" w:evenHBand="0" w:firstRowFirstColumn="0" w:firstRowLastColumn="0" w:lastRowFirstColumn="0" w:lastRowLastColumn="0"/>
            <w:tcW w:w="402" w:type="pct"/>
          </w:tcPr>
          <w:p w14:paraId="1B6C4F4F" w14:textId="7F3941B8" w:rsidR="00AA02CC" w:rsidRPr="00A91FB5" w:rsidRDefault="005B049B" w:rsidP="00C613C3">
            <w:pPr>
              <w:pStyle w:val="Tabletext"/>
              <w:spacing w:before="60" w:after="60" w:line="240" w:lineRule="auto"/>
              <w:rPr>
                <w:sz w:val="22"/>
                <w:szCs w:val="22"/>
              </w:rPr>
            </w:pPr>
            <w:r>
              <w:rPr>
                <w:sz w:val="22"/>
                <w:szCs w:val="22"/>
              </w:rPr>
              <w:t>3</w:t>
            </w:r>
            <w:r w:rsidR="009E42C5">
              <w:rPr>
                <w:sz w:val="22"/>
                <w:szCs w:val="22"/>
              </w:rPr>
              <w:t>.1.11</w:t>
            </w:r>
          </w:p>
        </w:tc>
        <w:tc>
          <w:tcPr>
            <w:tcW w:w="1978" w:type="pct"/>
          </w:tcPr>
          <w:p w14:paraId="252B3EAD" w14:textId="77777777" w:rsidR="00AA02CC" w:rsidRPr="00AA02CC" w:rsidRDefault="00AA02CC" w:rsidP="00C613C3">
            <w:pPr>
              <w:spacing w:before="60" w:line="240" w:lineRule="auto"/>
              <w:cnfStyle w:val="000000000000" w:firstRow="0" w:lastRow="0" w:firstColumn="0" w:lastColumn="0" w:oddVBand="0" w:evenVBand="0" w:oddHBand="0" w:evenHBand="0" w:firstRowFirstColumn="0" w:firstRowLastColumn="0" w:lastRowFirstColumn="0" w:lastRowLastColumn="0"/>
              <w:rPr>
                <w:rFonts w:cs="Arial"/>
                <w:b/>
                <w:i/>
                <w:szCs w:val="22"/>
              </w:rPr>
            </w:pPr>
            <w:r w:rsidRPr="00AA02CC">
              <w:rPr>
                <w:rFonts w:cs="Arial"/>
                <w:b/>
                <w:i/>
                <w:szCs w:val="22"/>
              </w:rPr>
              <w:t>Nursing Tribunal</w:t>
            </w:r>
          </w:p>
          <w:p w14:paraId="07103670" w14:textId="77777777" w:rsidR="00AA02CC" w:rsidRPr="00A91FB5" w:rsidRDefault="00AA02CC"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AA02CC">
              <w:rPr>
                <w:rFonts w:cs="Arial"/>
                <w:sz w:val="22"/>
                <w:szCs w:val="22"/>
              </w:rPr>
              <w:t>Records relating to the Nursing Tribunal.</w:t>
            </w:r>
          </w:p>
        </w:tc>
        <w:tc>
          <w:tcPr>
            <w:tcW w:w="672" w:type="pct"/>
          </w:tcPr>
          <w:p w14:paraId="14051406" w14:textId="44DC8E8C" w:rsidR="00AA02CC" w:rsidRPr="00A91FB5" w:rsidRDefault="00CD26F9" w:rsidP="00C613C3">
            <w:pPr>
              <w:pStyle w:val="Table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1993 – 2009</w:t>
            </w:r>
          </w:p>
        </w:tc>
        <w:tc>
          <w:tcPr>
            <w:tcW w:w="706" w:type="pct"/>
          </w:tcPr>
          <w:p w14:paraId="21DDD989" w14:textId="77777777" w:rsidR="00AA02CC" w:rsidRPr="00A91FB5" w:rsidRDefault="00AA02CC" w:rsidP="00C613C3">
            <w:pPr>
              <w:pStyle w:val="Table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Permanent</w:t>
            </w:r>
          </w:p>
        </w:tc>
        <w:tc>
          <w:tcPr>
            <w:tcW w:w="1242" w:type="pct"/>
          </w:tcPr>
          <w:p w14:paraId="56EF2ED1" w14:textId="77777777" w:rsidR="00AA02CC" w:rsidRPr="00A91FB5" w:rsidRDefault="00AA02CC"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Retain permanently.</w:t>
            </w:r>
          </w:p>
        </w:tc>
      </w:tr>
      <w:tr w:rsidR="006208F4" w:rsidRPr="00A91FB5" w14:paraId="6B0E618F" w14:textId="77777777" w:rsidTr="0086104D">
        <w:tblPrEx>
          <w:tblCellMar>
            <w:top w:w="57" w:type="dxa"/>
            <w:left w:w="119" w:type="dxa"/>
            <w:right w:w="119" w:type="dxa"/>
          </w:tblCellMar>
        </w:tblPrEx>
        <w:tc>
          <w:tcPr>
            <w:cnfStyle w:val="001000000000" w:firstRow="0" w:lastRow="0" w:firstColumn="1" w:lastColumn="0" w:oddVBand="0" w:evenVBand="0" w:oddHBand="0" w:evenHBand="0" w:firstRowFirstColumn="0" w:firstRowLastColumn="0" w:lastRowFirstColumn="0" w:lastRowLastColumn="0"/>
            <w:tcW w:w="402" w:type="pct"/>
          </w:tcPr>
          <w:p w14:paraId="30C094BB" w14:textId="529B2841" w:rsidR="00AA02CC" w:rsidRPr="00A91FB5" w:rsidRDefault="005B049B" w:rsidP="00C613C3">
            <w:pPr>
              <w:pStyle w:val="Tabletext"/>
              <w:spacing w:before="60" w:after="60" w:line="240" w:lineRule="auto"/>
              <w:rPr>
                <w:sz w:val="22"/>
                <w:szCs w:val="22"/>
              </w:rPr>
            </w:pPr>
            <w:r>
              <w:rPr>
                <w:sz w:val="22"/>
                <w:szCs w:val="22"/>
              </w:rPr>
              <w:t>3</w:t>
            </w:r>
            <w:r w:rsidR="009E42C5">
              <w:rPr>
                <w:sz w:val="22"/>
                <w:szCs w:val="22"/>
              </w:rPr>
              <w:t>.1.12</w:t>
            </w:r>
          </w:p>
        </w:tc>
        <w:tc>
          <w:tcPr>
            <w:tcW w:w="1978" w:type="pct"/>
          </w:tcPr>
          <w:p w14:paraId="6716978F" w14:textId="77777777" w:rsidR="00AA02CC" w:rsidRPr="00AA02CC" w:rsidRDefault="00AA02CC" w:rsidP="00C613C3">
            <w:pPr>
              <w:spacing w:before="60" w:line="240" w:lineRule="auto"/>
              <w:cnfStyle w:val="000000000000" w:firstRow="0" w:lastRow="0" w:firstColumn="0" w:lastColumn="0" w:oddVBand="0" w:evenVBand="0" w:oddHBand="0" w:evenHBand="0" w:firstRowFirstColumn="0" w:firstRowLastColumn="0" w:lastRowFirstColumn="0" w:lastRowLastColumn="0"/>
              <w:rPr>
                <w:rFonts w:cs="Arial"/>
                <w:b/>
                <w:i/>
                <w:szCs w:val="22"/>
              </w:rPr>
            </w:pPr>
            <w:r w:rsidRPr="00AA02CC">
              <w:rPr>
                <w:rFonts w:cs="Arial"/>
                <w:b/>
                <w:i/>
                <w:szCs w:val="22"/>
              </w:rPr>
              <w:t>Panel of Referees under the Fire and Rescue Service Act 1990</w:t>
            </w:r>
          </w:p>
          <w:p w14:paraId="68C129AE" w14:textId="77777777" w:rsidR="00AA02CC" w:rsidRPr="00A91FB5" w:rsidRDefault="00AA02CC"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AA02CC">
              <w:rPr>
                <w:rFonts w:cs="Arial"/>
                <w:sz w:val="22"/>
                <w:szCs w:val="22"/>
              </w:rPr>
              <w:t xml:space="preserve">Records relating to the Panel of Referees under the </w:t>
            </w:r>
            <w:r w:rsidRPr="00AA02CC">
              <w:rPr>
                <w:rFonts w:cs="Arial"/>
                <w:i/>
                <w:sz w:val="22"/>
                <w:szCs w:val="22"/>
              </w:rPr>
              <w:t>Fire and Rescue Service Act 1990</w:t>
            </w:r>
            <w:r w:rsidRPr="00AA02CC">
              <w:rPr>
                <w:rFonts w:cs="Arial"/>
                <w:sz w:val="22"/>
                <w:szCs w:val="22"/>
              </w:rPr>
              <w:t>.</w:t>
            </w:r>
          </w:p>
        </w:tc>
        <w:tc>
          <w:tcPr>
            <w:tcW w:w="672" w:type="pct"/>
          </w:tcPr>
          <w:p w14:paraId="5568E528" w14:textId="52973395" w:rsidR="00AA02CC" w:rsidRPr="00A91FB5" w:rsidRDefault="00CD26F9" w:rsidP="00C613C3">
            <w:pPr>
              <w:pStyle w:val="Table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1990 – 2009</w:t>
            </w:r>
          </w:p>
        </w:tc>
        <w:tc>
          <w:tcPr>
            <w:tcW w:w="706" w:type="pct"/>
          </w:tcPr>
          <w:p w14:paraId="342C0D6B" w14:textId="77777777" w:rsidR="00AA02CC" w:rsidRPr="00A91FB5" w:rsidRDefault="00AA02CC" w:rsidP="00C613C3">
            <w:pPr>
              <w:pStyle w:val="Table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Temporary</w:t>
            </w:r>
          </w:p>
        </w:tc>
        <w:tc>
          <w:tcPr>
            <w:tcW w:w="1242" w:type="pct"/>
          </w:tcPr>
          <w:p w14:paraId="190B8C34" w14:textId="77777777" w:rsidR="00AA02CC" w:rsidRPr="00A91FB5" w:rsidRDefault="00AA02CC"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AA02CC">
              <w:rPr>
                <w:rFonts w:cs="Arial"/>
                <w:sz w:val="22"/>
                <w:szCs w:val="22"/>
                <w:lang w:eastAsia="en-AU"/>
              </w:rPr>
              <w:t>Retain for 12 years after expiry or last action.</w:t>
            </w:r>
          </w:p>
        </w:tc>
      </w:tr>
      <w:tr w:rsidR="006208F4" w:rsidRPr="00A91FB5" w14:paraId="03ADF7A0" w14:textId="77777777" w:rsidTr="0086104D">
        <w:tblPrEx>
          <w:tblCellMar>
            <w:top w:w="57" w:type="dxa"/>
            <w:left w:w="119" w:type="dxa"/>
            <w:right w:w="119" w:type="dxa"/>
          </w:tblCellMar>
        </w:tblPrEx>
        <w:tc>
          <w:tcPr>
            <w:cnfStyle w:val="001000000000" w:firstRow="0" w:lastRow="0" w:firstColumn="1" w:lastColumn="0" w:oddVBand="0" w:evenVBand="0" w:oddHBand="0" w:evenHBand="0" w:firstRowFirstColumn="0" w:firstRowLastColumn="0" w:lastRowFirstColumn="0" w:lastRowLastColumn="0"/>
            <w:tcW w:w="402" w:type="pct"/>
          </w:tcPr>
          <w:p w14:paraId="21C18D68" w14:textId="25641B8F" w:rsidR="00AA02CC" w:rsidRPr="00A91FB5" w:rsidRDefault="005B049B" w:rsidP="00C613C3">
            <w:pPr>
              <w:pStyle w:val="Tabletext"/>
              <w:spacing w:before="60" w:after="60" w:line="240" w:lineRule="auto"/>
              <w:rPr>
                <w:sz w:val="22"/>
                <w:szCs w:val="22"/>
              </w:rPr>
            </w:pPr>
            <w:r>
              <w:rPr>
                <w:sz w:val="22"/>
                <w:szCs w:val="22"/>
              </w:rPr>
              <w:t>3</w:t>
            </w:r>
            <w:r w:rsidR="009E42C5">
              <w:rPr>
                <w:sz w:val="22"/>
                <w:szCs w:val="22"/>
              </w:rPr>
              <w:t>.1.13</w:t>
            </w:r>
          </w:p>
        </w:tc>
        <w:tc>
          <w:tcPr>
            <w:tcW w:w="1978" w:type="pct"/>
          </w:tcPr>
          <w:p w14:paraId="195A9C56" w14:textId="77777777" w:rsidR="00AA02CC" w:rsidRPr="00AA02CC" w:rsidRDefault="00AA02CC" w:rsidP="00C613C3">
            <w:pPr>
              <w:spacing w:before="60" w:line="240" w:lineRule="auto"/>
              <w:cnfStyle w:val="000000000000" w:firstRow="0" w:lastRow="0" w:firstColumn="0" w:lastColumn="0" w:oddVBand="0" w:evenVBand="0" w:oddHBand="0" w:evenHBand="0" w:firstRowFirstColumn="0" w:firstRowLastColumn="0" w:lastRowFirstColumn="0" w:lastRowLastColumn="0"/>
              <w:rPr>
                <w:rFonts w:cs="Arial"/>
                <w:b/>
                <w:i/>
                <w:szCs w:val="22"/>
              </w:rPr>
            </w:pPr>
            <w:r w:rsidRPr="00AA02CC">
              <w:rPr>
                <w:rFonts w:cs="Arial"/>
                <w:b/>
                <w:i/>
                <w:szCs w:val="22"/>
              </w:rPr>
              <w:t>Racing Appeal Tribunal</w:t>
            </w:r>
          </w:p>
          <w:p w14:paraId="442C42A5" w14:textId="77777777" w:rsidR="00AA02CC" w:rsidRPr="00A91FB5" w:rsidRDefault="00AA02CC"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AA02CC">
              <w:rPr>
                <w:rFonts w:cs="Arial"/>
                <w:sz w:val="22"/>
                <w:szCs w:val="22"/>
              </w:rPr>
              <w:t>Records relating to the Racing Appeal Tribunal.</w:t>
            </w:r>
          </w:p>
        </w:tc>
        <w:tc>
          <w:tcPr>
            <w:tcW w:w="672" w:type="pct"/>
          </w:tcPr>
          <w:p w14:paraId="71057EA4" w14:textId="1ED06D12" w:rsidR="00AA02CC" w:rsidRPr="00A91FB5" w:rsidRDefault="006873BB" w:rsidP="00E55097">
            <w:pPr>
              <w:pStyle w:val="Table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2002 </w:t>
            </w:r>
            <w:r w:rsidR="00E55097">
              <w:rPr>
                <w:sz w:val="22"/>
                <w:szCs w:val="22"/>
              </w:rPr>
              <w:t>–</w:t>
            </w:r>
            <w:r>
              <w:rPr>
                <w:sz w:val="22"/>
                <w:szCs w:val="22"/>
              </w:rPr>
              <w:t xml:space="preserve"> 2009</w:t>
            </w:r>
          </w:p>
        </w:tc>
        <w:tc>
          <w:tcPr>
            <w:tcW w:w="706" w:type="pct"/>
          </w:tcPr>
          <w:p w14:paraId="7AD85D73" w14:textId="77777777" w:rsidR="00AA02CC" w:rsidRPr="00A91FB5" w:rsidRDefault="00AA02CC" w:rsidP="00C613C3">
            <w:pPr>
              <w:pStyle w:val="Table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Temporary</w:t>
            </w:r>
          </w:p>
        </w:tc>
        <w:tc>
          <w:tcPr>
            <w:tcW w:w="1242" w:type="pct"/>
          </w:tcPr>
          <w:p w14:paraId="5985F8FD" w14:textId="77777777" w:rsidR="00AA02CC" w:rsidRPr="00A91FB5" w:rsidRDefault="00AA02CC"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AA02CC">
              <w:rPr>
                <w:rFonts w:cs="Arial"/>
                <w:sz w:val="22"/>
                <w:szCs w:val="22"/>
                <w:lang w:eastAsia="en-AU"/>
              </w:rPr>
              <w:t>Retain for 12 years after expiry or last action.</w:t>
            </w:r>
          </w:p>
        </w:tc>
      </w:tr>
      <w:tr w:rsidR="006208F4" w:rsidRPr="00A91FB5" w14:paraId="00CABB8E" w14:textId="77777777" w:rsidTr="0086104D">
        <w:tblPrEx>
          <w:tblCellMar>
            <w:top w:w="57" w:type="dxa"/>
            <w:left w:w="119" w:type="dxa"/>
            <w:right w:w="119" w:type="dxa"/>
          </w:tblCellMar>
        </w:tblPrEx>
        <w:tc>
          <w:tcPr>
            <w:cnfStyle w:val="001000000000" w:firstRow="0" w:lastRow="0" w:firstColumn="1" w:lastColumn="0" w:oddVBand="0" w:evenVBand="0" w:oddHBand="0" w:evenHBand="0" w:firstRowFirstColumn="0" w:firstRowLastColumn="0" w:lastRowFirstColumn="0" w:lastRowLastColumn="0"/>
            <w:tcW w:w="402" w:type="pct"/>
          </w:tcPr>
          <w:p w14:paraId="44017650" w14:textId="0C81FD8A" w:rsidR="00AA02CC" w:rsidRDefault="005B049B" w:rsidP="00C613C3">
            <w:pPr>
              <w:pStyle w:val="Tabletext"/>
              <w:spacing w:before="60" w:after="60" w:line="240" w:lineRule="auto"/>
              <w:rPr>
                <w:sz w:val="22"/>
                <w:szCs w:val="22"/>
              </w:rPr>
            </w:pPr>
            <w:r>
              <w:rPr>
                <w:sz w:val="22"/>
                <w:szCs w:val="22"/>
              </w:rPr>
              <w:t>3</w:t>
            </w:r>
            <w:r w:rsidR="009E42C5">
              <w:rPr>
                <w:sz w:val="22"/>
                <w:szCs w:val="22"/>
              </w:rPr>
              <w:t>.1.14</w:t>
            </w:r>
          </w:p>
        </w:tc>
        <w:tc>
          <w:tcPr>
            <w:tcW w:w="1978" w:type="pct"/>
          </w:tcPr>
          <w:p w14:paraId="0724B5F4" w14:textId="77777777" w:rsidR="00AA02CC" w:rsidRPr="00AA02CC" w:rsidRDefault="00AA02CC" w:rsidP="00C613C3">
            <w:pPr>
              <w:spacing w:before="60" w:line="240" w:lineRule="auto"/>
              <w:cnfStyle w:val="000000000000" w:firstRow="0" w:lastRow="0" w:firstColumn="0" w:lastColumn="0" w:oddVBand="0" w:evenVBand="0" w:oddHBand="0" w:evenHBand="0" w:firstRowFirstColumn="0" w:firstRowLastColumn="0" w:lastRowFirstColumn="0" w:lastRowLastColumn="0"/>
              <w:rPr>
                <w:rFonts w:cs="Arial"/>
                <w:b/>
                <w:i/>
                <w:szCs w:val="22"/>
              </w:rPr>
            </w:pPr>
            <w:r w:rsidRPr="00AA02CC">
              <w:rPr>
                <w:rFonts w:cs="Arial"/>
                <w:b/>
                <w:i/>
                <w:szCs w:val="22"/>
              </w:rPr>
              <w:t>Retail Shop Leases Tribunal</w:t>
            </w:r>
          </w:p>
          <w:p w14:paraId="266511C8" w14:textId="77777777" w:rsidR="00AA02CC" w:rsidRPr="00EE50E0" w:rsidRDefault="00AA02CC" w:rsidP="00C613C3">
            <w:pPr>
              <w:spacing w:before="60" w:line="240" w:lineRule="auto"/>
              <w:cnfStyle w:val="000000000000" w:firstRow="0" w:lastRow="0" w:firstColumn="0" w:lastColumn="0" w:oddVBand="0" w:evenVBand="0" w:oddHBand="0" w:evenHBand="0" w:firstRowFirstColumn="0" w:firstRowLastColumn="0" w:lastRowFirstColumn="0" w:lastRowLastColumn="0"/>
              <w:rPr>
                <w:rFonts w:cs="Arial"/>
                <w:b/>
                <w:szCs w:val="22"/>
              </w:rPr>
            </w:pPr>
            <w:r w:rsidRPr="00EE50E0">
              <w:rPr>
                <w:rFonts w:cs="Arial"/>
                <w:szCs w:val="22"/>
              </w:rPr>
              <w:t>Records relating to the Retail Shop Lease Tribunal.</w:t>
            </w:r>
          </w:p>
        </w:tc>
        <w:tc>
          <w:tcPr>
            <w:tcW w:w="672" w:type="pct"/>
          </w:tcPr>
          <w:p w14:paraId="0E67EBB8" w14:textId="2B0EAD8C" w:rsidR="00AA02CC" w:rsidRPr="00A91FB5" w:rsidRDefault="006873BB" w:rsidP="00C613C3">
            <w:pPr>
              <w:pStyle w:val="Table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1994 – 2009</w:t>
            </w:r>
          </w:p>
        </w:tc>
        <w:tc>
          <w:tcPr>
            <w:tcW w:w="706" w:type="pct"/>
          </w:tcPr>
          <w:p w14:paraId="43CA9EF3" w14:textId="77777777" w:rsidR="00AA02CC" w:rsidRPr="00A91FB5" w:rsidRDefault="00AA02CC" w:rsidP="00C613C3">
            <w:pPr>
              <w:pStyle w:val="Table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Temporary</w:t>
            </w:r>
          </w:p>
        </w:tc>
        <w:tc>
          <w:tcPr>
            <w:tcW w:w="1242" w:type="pct"/>
          </w:tcPr>
          <w:p w14:paraId="4F40B774" w14:textId="77777777" w:rsidR="00AA02CC" w:rsidRPr="00A91FB5" w:rsidRDefault="00AA02CC"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AA02CC">
              <w:rPr>
                <w:rFonts w:cs="Arial"/>
                <w:sz w:val="22"/>
                <w:szCs w:val="22"/>
                <w:lang w:eastAsia="en-AU"/>
              </w:rPr>
              <w:t>Retain for 12 years after expiry or last action.</w:t>
            </w:r>
          </w:p>
        </w:tc>
      </w:tr>
      <w:tr w:rsidR="006208F4" w:rsidRPr="00A91FB5" w14:paraId="09066822" w14:textId="77777777" w:rsidTr="0086104D">
        <w:tblPrEx>
          <w:tblCellMar>
            <w:top w:w="57" w:type="dxa"/>
            <w:left w:w="119" w:type="dxa"/>
            <w:right w:w="119" w:type="dxa"/>
          </w:tblCellMar>
        </w:tblPrEx>
        <w:tc>
          <w:tcPr>
            <w:cnfStyle w:val="001000000000" w:firstRow="0" w:lastRow="0" w:firstColumn="1" w:lastColumn="0" w:oddVBand="0" w:evenVBand="0" w:oddHBand="0" w:evenHBand="0" w:firstRowFirstColumn="0" w:firstRowLastColumn="0" w:lastRowFirstColumn="0" w:lastRowLastColumn="0"/>
            <w:tcW w:w="402" w:type="pct"/>
          </w:tcPr>
          <w:p w14:paraId="7C89E4F7" w14:textId="71E860A2" w:rsidR="00AA02CC" w:rsidRDefault="005B049B" w:rsidP="00C613C3">
            <w:pPr>
              <w:pStyle w:val="Tabletext"/>
              <w:spacing w:before="60" w:after="60" w:line="240" w:lineRule="auto"/>
              <w:rPr>
                <w:sz w:val="22"/>
                <w:szCs w:val="22"/>
              </w:rPr>
            </w:pPr>
            <w:r>
              <w:rPr>
                <w:sz w:val="22"/>
                <w:szCs w:val="22"/>
              </w:rPr>
              <w:t>3</w:t>
            </w:r>
            <w:r w:rsidR="009E42C5">
              <w:rPr>
                <w:sz w:val="22"/>
                <w:szCs w:val="22"/>
              </w:rPr>
              <w:t>.1.15</w:t>
            </w:r>
          </w:p>
        </w:tc>
        <w:tc>
          <w:tcPr>
            <w:tcW w:w="1978" w:type="pct"/>
          </w:tcPr>
          <w:p w14:paraId="5121C247" w14:textId="77777777" w:rsidR="00AA02CC" w:rsidRPr="00AA02CC" w:rsidRDefault="00AA02CC" w:rsidP="00C613C3">
            <w:pPr>
              <w:spacing w:before="60" w:line="240" w:lineRule="auto"/>
              <w:cnfStyle w:val="000000000000" w:firstRow="0" w:lastRow="0" w:firstColumn="0" w:lastColumn="0" w:oddVBand="0" w:evenVBand="0" w:oddHBand="0" w:evenHBand="0" w:firstRowFirstColumn="0" w:firstRowLastColumn="0" w:lastRowFirstColumn="0" w:lastRowLastColumn="0"/>
              <w:rPr>
                <w:rFonts w:cs="Arial"/>
                <w:b/>
                <w:i/>
                <w:szCs w:val="22"/>
              </w:rPr>
            </w:pPr>
            <w:r w:rsidRPr="00AA02CC">
              <w:rPr>
                <w:rFonts w:cs="Arial"/>
                <w:b/>
                <w:i/>
                <w:szCs w:val="22"/>
              </w:rPr>
              <w:t>Small Claims Tribunal</w:t>
            </w:r>
          </w:p>
          <w:p w14:paraId="17270E6A" w14:textId="77777777" w:rsidR="00AA02CC" w:rsidRPr="00AA02CC" w:rsidRDefault="00AA02CC" w:rsidP="00C613C3">
            <w:pPr>
              <w:spacing w:before="60" w:line="240" w:lineRule="auto"/>
              <w:cnfStyle w:val="000000000000" w:firstRow="0" w:lastRow="0" w:firstColumn="0" w:lastColumn="0" w:oddVBand="0" w:evenVBand="0" w:oddHBand="0" w:evenHBand="0" w:firstRowFirstColumn="0" w:firstRowLastColumn="0" w:lastRowFirstColumn="0" w:lastRowLastColumn="0"/>
              <w:rPr>
                <w:rFonts w:cs="Arial"/>
                <w:b/>
                <w:i/>
                <w:szCs w:val="22"/>
              </w:rPr>
            </w:pPr>
            <w:r w:rsidRPr="00EE50E0">
              <w:rPr>
                <w:rFonts w:cs="Arial"/>
                <w:szCs w:val="22"/>
              </w:rPr>
              <w:t>Records relating to the Small Claims Tribunal.</w:t>
            </w:r>
          </w:p>
        </w:tc>
        <w:tc>
          <w:tcPr>
            <w:tcW w:w="672" w:type="pct"/>
          </w:tcPr>
          <w:p w14:paraId="5060AC35" w14:textId="1E410E81" w:rsidR="00AA02CC" w:rsidRPr="00A91FB5" w:rsidRDefault="006873BB" w:rsidP="00C613C3">
            <w:pPr>
              <w:pStyle w:val="Table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1973 – 2009</w:t>
            </w:r>
          </w:p>
        </w:tc>
        <w:tc>
          <w:tcPr>
            <w:tcW w:w="706" w:type="pct"/>
          </w:tcPr>
          <w:p w14:paraId="27BB53D5" w14:textId="77777777" w:rsidR="00AA02CC" w:rsidRPr="00A91FB5" w:rsidRDefault="00AA02CC" w:rsidP="00C613C3">
            <w:pPr>
              <w:pStyle w:val="Table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Temporary</w:t>
            </w:r>
          </w:p>
        </w:tc>
        <w:tc>
          <w:tcPr>
            <w:tcW w:w="1242" w:type="pct"/>
          </w:tcPr>
          <w:p w14:paraId="588BDF67" w14:textId="77777777" w:rsidR="00AA02CC" w:rsidRPr="00A91FB5" w:rsidRDefault="00AA02CC"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AA02CC">
              <w:rPr>
                <w:rFonts w:cs="Arial"/>
                <w:sz w:val="22"/>
                <w:szCs w:val="22"/>
                <w:lang w:eastAsia="en-AU"/>
              </w:rPr>
              <w:t>Retain for 12 years after expiry or last action.</w:t>
            </w:r>
          </w:p>
        </w:tc>
      </w:tr>
      <w:tr w:rsidR="006208F4" w:rsidRPr="00A91FB5" w14:paraId="4EC42B37" w14:textId="77777777" w:rsidTr="0086104D">
        <w:tblPrEx>
          <w:tblCellMar>
            <w:top w:w="57" w:type="dxa"/>
            <w:left w:w="119" w:type="dxa"/>
            <w:right w:w="119" w:type="dxa"/>
          </w:tblCellMar>
        </w:tblPrEx>
        <w:tc>
          <w:tcPr>
            <w:cnfStyle w:val="001000000000" w:firstRow="0" w:lastRow="0" w:firstColumn="1" w:lastColumn="0" w:oddVBand="0" w:evenVBand="0" w:oddHBand="0" w:evenHBand="0" w:firstRowFirstColumn="0" w:firstRowLastColumn="0" w:lastRowFirstColumn="0" w:lastRowLastColumn="0"/>
            <w:tcW w:w="402" w:type="pct"/>
          </w:tcPr>
          <w:p w14:paraId="55D5A18A" w14:textId="7AD02E52" w:rsidR="00AA02CC" w:rsidRDefault="005B049B" w:rsidP="00C613C3">
            <w:pPr>
              <w:pStyle w:val="Tabletext"/>
              <w:spacing w:before="60" w:after="60" w:line="240" w:lineRule="auto"/>
              <w:rPr>
                <w:sz w:val="22"/>
                <w:szCs w:val="22"/>
              </w:rPr>
            </w:pPr>
            <w:r>
              <w:rPr>
                <w:sz w:val="22"/>
                <w:szCs w:val="22"/>
              </w:rPr>
              <w:t>3</w:t>
            </w:r>
            <w:r w:rsidR="009E42C5">
              <w:rPr>
                <w:sz w:val="22"/>
                <w:szCs w:val="22"/>
              </w:rPr>
              <w:t>.1.16</w:t>
            </w:r>
          </w:p>
        </w:tc>
        <w:tc>
          <w:tcPr>
            <w:tcW w:w="1978" w:type="pct"/>
          </w:tcPr>
          <w:p w14:paraId="7FA30604" w14:textId="77777777" w:rsidR="00AA02CC" w:rsidRPr="00AA02CC" w:rsidRDefault="00AA02CC" w:rsidP="00C613C3">
            <w:pPr>
              <w:spacing w:before="60" w:line="240" w:lineRule="auto"/>
              <w:cnfStyle w:val="000000000000" w:firstRow="0" w:lastRow="0" w:firstColumn="0" w:lastColumn="0" w:oddVBand="0" w:evenVBand="0" w:oddHBand="0" w:evenHBand="0" w:firstRowFirstColumn="0" w:firstRowLastColumn="0" w:lastRowFirstColumn="0" w:lastRowLastColumn="0"/>
              <w:rPr>
                <w:rFonts w:cs="Arial"/>
                <w:b/>
                <w:i/>
                <w:szCs w:val="22"/>
              </w:rPr>
            </w:pPr>
            <w:r w:rsidRPr="00AA02CC">
              <w:rPr>
                <w:rFonts w:cs="Arial"/>
                <w:b/>
                <w:i/>
                <w:szCs w:val="22"/>
              </w:rPr>
              <w:t>Surveyors Disciplinary Committee</w:t>
            </w:r>
          </w:p>
          <w:p w14:paraId="2C2AD452" w14:textId="77777777" w:rsidR="00AA02CC" w:rsidRPr="00AA02CC" w:rsidRDefault="00AA02CC" w:rsidP="00C613C3">
            <w:pPr>
              <w:spacing w:before="60" w:line="240" w:lineRule="auto"/>
              <w:cnfStyle w:val="000000000000" w:firstRow="0" w:lastRow="0" w:firstColumn="0" w:lastColumn="0" w:oddVBand="0" w:evenVBand="0" w:oddHBand="0" w:evenHBand="0" w:firstRowFirstColumn="0" w:firstRowLastColumn="0" w:lastRowFirstColumn="0" w:lastRowLastColumn="0"/>
              <w:rPr>
                <w:rFonts w:cs="Arial"/>
                <w:b/>
                <w:i/>
                <w:szCs w:val="22"/>
              </w:rPr>
            </w:pPr>
            <w:r w:rsidRPr="00EE50E0">
              <w:rPr>
                <w:rFonts w:cs="Arial"/>
                <w:szCs w:val="22"/>
              </w:rPr>
              <w:t>Records relating to the Surveyors Disciplinary Committee</w:t>
            </w:r>
            <w:r>
              <w:rPr>
                <w:rFonts w:cs="Arial"/>
                <w:szCs w:val="22"/>
              </w:rPr>
              <w:t>.</w:t>
            </w:r>
          </w:p>
        </w:tc>
        <w:tc>
          <w:tcPr>
            <w:tcW w:w="672" w:type="pct"/>
          </w:tcPr>
          <w:p w14:paraId="022013DA" w14:textId="227CD95D" w:rsidR="00AA02CC" w:rsidRPr="00A91FB5" w:rsidRDefault="006873BB" w:rsidP="00E55097">
            <w:pPr>
              <w:pStyle w:val="Table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2004 </w:t>
            </w:r>
            <w:r w:rsidR="00E55097">
              <w:rPr>
                <w:sz w:val="22"/>
                <w:szCs w:val="22"/>
              </w:rPr>
              <w:t>–</w:t>
            </w:r>
            <w:r>
              <w:rPr>
                <w:sz w:val="22"/>
                <w:szCs w:val="22"/>
              </w:rPr>
              <w:t xml:space="preserve"> 2009</w:t>
            </w:r>
          </w:p>
        </w:tc>
        <w:tc>
          <w:tcPr>
            <w:tcW w:w="706" w:type="pct"/>
          </w:tcPr>
          <w:p w14:paraId="23A63F4E" w14:textId="77777777" w:rsidR="00AA02CC" w:rsidRPr="00A91FB5" w:rsidRDefault="00AA02CC" w:rsidP="00C613C3">
            <w:pPr>
              <w:pStyle w:val="Table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Temporary</w:t>
            </w:r>
          </w:p>
        </w:tc>
        <w:tc>
          <w:tcPr>
            <w:tcW w:w="1242" w:type="pct"/>
          </w:tcPr>
          <w:p w14:paraId="3BD75427" w14:textId="77777777" w:rsidR="00AA02CC" w:rsidRPr="00A91FB5" w:rsidRDefault="00AA02CC"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AA02CC">
              <w:rPr>
                <w:rFonts w:cs="Arial"/>
                <w:sz w:val="22"/>
                <w:szCs w:val="22"/>
                <w:lang w:eastAsia="en-AU"/>
              </w:rPr>
              <w:t>Retain for 12 years after expiry or last action.</w:t>
            </w:r>
          </w:p>
        </w:tc>
      </w:tr>
      <w:tr w:rsidR="006208F4" w:rsidRPr="00A91FB5" w14:paraId="65285E88" w14:textId="77777777" w:rsidTr="0086104D">
        <w:tblPrEx>
          <w:tblCellMar>
            <w:top w:w="57" w:type="dxa"/>
            <w:left w:w="119" w:type="dxa"/>
            <w:right w:w="119" w:type="dxa"/>
          </w:tblCellMar>
        </w:tblPrEx>
        <w:tc>
          <w:tcPr>
            <w:cnfStyle w:val="001000000000" w:firstRow="0" w:lastRow="0" w:firstColumn="1" w:lastColumn="0" w:oddVBand="0" w:evenVBand="0" w:oddHBand="0" w:evenHBand="0" w:firstRowFirstColumn="0" w:firstRowLastColumn="0" w:lastRowFirstColumn="0" w:lastRowLastColumn="0"/>
            <w:tcW w:w="402" w:type="pct"/>
          </w:tcPr>
          <w:p w14:paraId="56BACF05" w14:textId="1F8DE937" w:rsidR="00AA02CC" w:rsidRDefault="005B049B" w:rsidP="00C613C3">
            <w:pPr>
              <w:pStyle w:val="Tabletext"/>
              <w:spacing w:before="60" w:after="60" w:line="240" w:lineRule="auto"/>
              <w:rPr>
                <w:sz w:val="22"/>
                <w:szCs w:val="22"/>
              </w:rPr>
            </w:pPr>
            <w:r>
              <w:rPr>
                <w:sz w:val="22"/>
                <w:szCs w:val="22"/>
              </w:rPr>
              <w:lastRenderedPageBreak/>
              <w:t>3</w:t>
            </w:r>
            <w:r w:rsidR="009E42C5">
              <w:rPr>
                <w:sz w:val="22"/>
                <w:szCs w:val="22"/>
              </w:rPr>
              <w:t>.1.17</w:t>
            </w:r>
          </w:p>
        </w:tc>
        <w:tc>
          <w:tcPr>
            <w:tcW w:w="1978" w:type="pct"/>
          </w:tcPr>
          <w:p w14:paraId="57A4DE30" w14:textId="77777777" w:rsidR="00AA02CC" w:rsidRPr="00AA02CC" w:rsidRDefault="00AA02CC" w:rsidP="00C613C3">
            <w:pPr>
              <w:spacing w:before="60" w:line="240" w:lineRule="auto"/>
              <w:cnfStyle w:val="000000000000" w:firstRow="0" w:lastRow="0" w:firstColumn="0" w:lastColumn="0" w:oddVBand="0" w:evenVBand="0" w:oddHBand="0" w:evenHBand="0" w:firstRowFirstColumn="0" w:firstRowLastColumn="0" w:lastRowFirstColumn="0" w:lastRowLastColumn="0"/>
              <w:rPr>
                <w:rFonts w:cs="Arial"/>
                <w:b/>
                <w:i/>
                <w:szCs w:val="22"/>
              </w:rPr>
            </w:pPr>
            <w:r w:rsidRPr="00AA02CC">
              <w:rPr>
                <w:rFonts w:cs="Arial"/>
                <w:b/>
                <w:i/>
                <w:szCs w:val="22"/>
              </w:rPr>
              <w:t>Teachers Disciplinary Committee</w:t>
            </w:r>
          </w:p>
          <w:p w14:paraId="6AECBC70" w14:textId="77777777" w:rsidR="00AA02CC" w:rsidRPr="00AA02CC" w:rsidRDefault="00AA02CC" w:rsidP="00C613C3">
            <w:pPr>
              <w:spacing w:before="60" w:line="240" w:lineRule="auto"/>
              <w:cnfStyle w:val="000000000000" w:firstRow="0" w:lastRow="0" w:firstColumn="0" w:lastColumn="0" w:oddVBand="0" w:evenVBand="0" w:oddHBand="0" w:evenHBand="0" w:firstRowFirstColumn="0" w:firstRowLastColumn="0" w:lastRowFirstColumn="0" w:lastRowLastColumn="0"/>
              <w:rPr>
                <w:rFonts w:cs="Arial"/>
                <w:b/>
                <w:i/>
                <w:szCs w:val="22"/>
              </w:rPr>
            </w:pPr>
            <w:r w:rsidRPr="00EE50E0">
              <w:rPr>
                <w:rFonts w:cs="Arial"/>
                <w:szCs w:val="22"/>
              </w:rPr>
              <w:t>Records relating to the Teachers Disciplinary Committee.</w:t>
            </w:r>
          </w:p>
        </w:tc>
        <w:tc>
          <w:tcPr>
            <w:tcW w:w="672" w:type="pct"/>
          </w:tcPr>
          <w:p w14:paraId="17060F33" w14:textId="1FF8C5A5" w:rsidR="00AA02CC" w:rsidRPr="00A91FB5" w:rsidRDefault="006873BB" w:rsidP="00C613C3">
            <w:pPr>
              <w:pStyle w:val="Table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2005 – 2009</w:t>
            </w:r>
          </w:p>
        </w:tc>
        <w:tc>
          <w:tcPr>
            <w:tcW w:w="706" w:type="pct"/>
          </w:tcPr>
          <w:p w14:paraId="5E81CA67" w14:textId="77777777" w:rsidR="00AA02CC" w:rsidRPr="00A91FB5" w:rsidRDefault="00AA02CC" w:rsidP="00C613C3">
            <w:pPr>
              <w:pStyle w:val="Table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Temporary</w:t>
            </w:r>
          </w:p>
        </w:tc>
        <w:tc>
          <w:tcPr>
            <w:tcW w:w="1242" w:type="pct"/>
          </w:tcPr>
          <w:p w14:paraId="343EB812" w14:textId="77777777" w:rsidR="00AA02CC" w:rsidRPr="00A91FB5" w:rsidRDefault="00AA02CC"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AA02CC">
              <w:rPr>
                <w:rFonts w:cs="Arial"/>
                <w:sz w:val="22"/>
                <w:szCs w:val="22"/>
                <w:lang w:eastAsia="en-AU"/>
              </w:rPr>
              <w:t>Retain for 12 years after expiry or last action.</w:t>
            </w:r>
          </w:p>
        </w:tc>
      </w:tr>
      <w:tr w:rsidR="006208F4" w:rsidRPr="00A91FB5" w14:paraId="77F3A86F" w14:textId="77777777" w:rsidTr="0086104D">
        <w:tblPrEx>
          <w:tblCellMar>
            <w:top w:w="57" w:type="dxa"/>
            <w:left w:w="119" w:type="dxa"/>
            <w:right w:w="119" w:type="dxa"/>
          </w:tblCellMar>
        </w:tblPrEx>
        <w:tc>
          <w:tcPr>
            <w:cnfStyle w:val="001000000000" w:firstRow="0" w:lastRow="0" w:firstColumn="1" w:lastColumn="0" w:oddVBand="0" w:evenVBand="0" w:oddHBand="0" w:evenHBand="0" w:firstRowFirstColumn="0" w:firstRowLastColumn="0" w:lastRowFirstColumn="0" w:lastRowLastColumn="0"/>
            <w:tcW w:w="402" w:type="pct"/>
          </w:tcPr>
          <w:p w14:paraId="58BF78FF" w14:textId="2238AC56" w:rsidR="00AA02CC" w:rsidRDefault="005B049B" w:rsidP="00C613C3">
            <w:pPr>
              <w:pStyle w:val="Tabletext"/>
              <w:spacing w:before="60" w:after="60" w:line="240" w:lineRule="auto"/>
              <w:rPr>
                <w:sz w:val="22"/>
                <w:szCs w:val="22"/>
              </w:rPr>
            </w:pPr>
            <w:r>
              <w:rPr>
                <w:sz w:val="22"/>
                <w:szCs w:val="22"/>
              </w:rPr>
              <w:t>3</w:t>
            </w:r>
            <w:r w:rsidR="009E42C5">
              <w:rPr>
                <w:sz w:val="22"/>
                <w:szCs w:val="22"/>
              </w:rPr>
              <w:t>.1.18</w:t>
            </w:r>
          </w:p>
        </w:tc>
        <w:tc>
          <w:tcPr>
            <w:tcW w:w="1978" w:type="pct"/>
          </w:tcPr>
          <w:p w14:paraId="4491B690" w14:textId="77777777" w:rsidR="00AA02CC" w:rsidRPr="00EE50E0" w:rsidRDefault="00AA02CC" w:rsidP="00C613C3">
            <w:pPr>
              <w:spacing w:before="60" w:line="240" w:lineRule="auto"/>
              <w:cnfStyle w:val="000000000000" w:firstRow="0" w:lastRow="0" w:firstColumn="0" w:lastColumn="0" w:oddVBand="0" w:evenVBand="0" w:oddHBand="0" w:evenHBand="0" w:firstRowFirstColumn="0" w:firstRowLastColumn="0" w:lastRowFirstColumn="0" w:lastRowLastColumn="0"/>
              <w:rPr>
                <w:rFonts w:cs="Arial"/>
                <w:b/>
                <w:szCs w:val="22"/>
              </w:rPr>
            </w:pPr>
            <w:r w:rsidRPr="00EE50E0">
              <w:rPr>
                <w:rFonts w:cs="Arial"/>
                <w:b/>
                <w:i/>
                <w:szCs w:val="22"/>
              </w:rPr>
              <w:t xml:space="preserve">Valuers Registration </w:t>
            </w:r>
            <w:r>
              <w:rPr>
                <w:rFonts w:cs="Arial"/>
                <w:b/>
                <w:i/>
                <w:szCs w:val="22"/>
              </w:rPr>
              <w:t>Committee</w:t>
            </w:r>
          </w:p>
          <w:p w14:paraId="251589AE" w14:textId="77777777" w:rsidR="00AA02CC" w:rsidRPr="00AA02CC" w:rsidRDefault="00AA02CC" w:rsidP="00C613C3">
            <w:pPr>
              <w:spacing w:before="60" w:line="240" w:lineRule="auto"/>
              <w:cnfStyle w:val="000000000000" w:firstRow="0" w:lastRow="0" w:firstColumn="0" w:lastColumn="0" w:oddVBand="0" w:evenVBand="0" w:oddHBand="0" w:evenHBand="0" w:firstRowFirstColumn="0" w:firstRowLastColumn="0" w:lastRowFirstColumn="0" w:lastRowLastColumn="0"/>
              <w:rPr>
                <w:rFonts w:cs="Arial"/>
                <w:b/>
                <w:i/>
                <w:szCs w:val="22"/>
              </w:rPr>
            </w:pPr>
            <w:r w:rsidRPr="00EE50E0">
              <w:rPr>
                <w:rFonts w:cs="Arial"/>
                <w:szCs w:val="22"/>
              </w:rPr>
              <w:t>Records relating to the Committee under the Valuers Registration Act 1992.</w:t>
            </w:r>
          </w:p>
        </w:tc>
        <w:tc>
          <w:tcPr>
            <w:tcW w:w="672" w:type="pct"/>
          </w:tcPr>
          <w:p w14:paraId="464FAA1C" w14:textId="15B7F69F" w:rsidR="00AA02CC" w:rsidRPr="00A91FB5" w:rsidRDefault="006873BB" w:rsidP="00C613C3">
            <w:pPr>
              <w:pStyle w:val="Table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1992 – 2009</w:t>
            </w:r>
          </w:p>
        </w:tc>
        <w:tc>
          <w:tcPr>
            <w:tcW w:w="706" w:type="pct"/>
          </w:tcPr>
          <w:p w14:paraId="793DBC1A" w14:textId="77777777" w:rsidR="00AA02CC" w:rsidRPr="00A91FB5" w:rsidRDefault="00AA02CC" w:rsidP="00C613C3">
            <w:pPr>
              <w:pStyle w:val="Table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Temporary</w:t>
            </w:r>
          </w:p>
        </w:tc>
        <w:tc>
          <w:tcPr>
            <w:tcW w:w="1242" w:type="pct"/>
          </w:tcPr>
          <w:p w14:paraId="506619AB" w14:textId="77777777" w:rsidR="00AA02CC" w:rsidRPr="00A91FB5" w:rsidRDefault="00AA02CC" w:rsidP="00C613C3">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AA02CC">
              <w:rPr>
                <w:rFonts w:cs="Arial"/>
                <w:sz w:val="22"/>
                <w:szCs w:val="22"/>
                <w:lang w:eastAsia="en-AU"/>
              </w:rPr>
              <w:t>Retain for 12 years after expiry or last action.</w:t>
            </w:r>
          </w:p>
        </w:tc>
      </w:tr>
      <w:tr w:rsidR="006208F4" w:rsidRPr="00A91FB5" w14:paraId="7CA70140" w14:textId="77777777" w:rsidTr="0086104D">
        <w:tblPrEx>
          <w:tblCellMar>
            <w:top w:w="57" w:type="dxa"/>
            <w:left w:w="119" w:type="dxa"/>
            <w:right w:w="119" w:type="dxa"/>
          </w:tblCellMar>
        </w:tblPrEx>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 w:type="pct"/>
          </w:tcPr>
          <w:p w14:paraId="59919911" w14:textId="73383269" w:rsidR="00AA02CC" w:rsidRDefault="005B049B" w:rsidP="00C613C3">
            <w:pPr>
              <w:pStyle w:val="Tabletext"/>
              <w:spacing w:before="60" w:after="60" w:line="240" w:lineRule="auto"/>
              <w:rPr>
                <w:sz w:val="22"/>
                <w:szCs w:val="22"/>
              </w:rPr>
            </w:pPr>
            <w:r>
              <w:rPr>
                <w:sz w:val="22"/>
                <w:szCs w:val="22"/>
              </w:rPr>
              <w:t>3</w:t>
            </w:r>
            <w:r w:rsidR="009E42C5">
              <w:rPr>
                <w:sz w:val="22"/>
                <w:szCs w:val="22"/>
              </w:rPr>
              <w:t>.1.19</w:t>
            </w:r>
          </w:p>
        </w:tc>
        <w:tc>
          <w:tcPr>
            <w:tcW w:w="1978" w:type="pct"/>
          </w:tcPr>
          <w:p w14:paraId="41AA0CFF" w14:textId="77777777" w:rsidR="00AA02CC" w:rsidRPr="00AA02CC" w:rsidRDefault="00AA02CC" w:rsidP="00C613C3">
            <w:pPr>
              <w:spacing w:before="60" w:line="240" w:lineRule="auto"/>
              <w:cnfStyle w:val="010000000000" w:firstRow="0" w:lastRow="1" w:firstColumn="0" w:lastColumn="0" w:oddVBand="0" w:evenVBand="0" w:oddHBand="0" w:evenHBand="0" w:firstRowFirstColumn="0" w:firstRowLastColumn="0" w:lastRowFirstColumn="0" w:lastRowLastColumn="0"/>
              <w:rPr>
                <w:rFonts w:cs="Arial"/>
                <w:b/>
                <w:i/>
                <w:szCs w:val="22"/>
              </w:rPr>
            </w:pPr>
            <w:r w:rsidRPr="00AA02CC">
              <w:rPr>
                <w:rFonts w:cs="Arial"/>
                <w:b/>
                <w:i/>
                <w:szCs w:val="22"/>
              </w:rPr>
              <w:t>Veterinary Tribunal</w:t>
            </w:r>
          </w:p>
          <w:p w14:paraId="33C17B16" w14:textId="77777777" w:rsidR="00AA02CC" w:rsidRPr="00EE50E0" w:rsidRDefault="00AA02CC" w:rsidP="00C613C3">
            <w:pPr>
              <w:spacing w:before="60" w:line="240" w:lineRule="auto"/>
              <w:cnfStyle w:val="010000000000" w:firstRow="0" w:lastRow="1" w:firstColumn="0" w:lastColumn="0" w:oddVBand="0" w:evenVBand="0" w:oddHBand="0" w:evenHBand="0" w:firstRowFirstColumn="0" w:firstRowLastColumn="0" w:lastRowFirstColumn="0" w:lastRowLastColumn="0"/>
              <w:rPr>
                <w:rFonts w:cs="Arial"/>
                <w:b/>
                <w:szCs w:val="22"/>
              </w:rPr>
            </w:pPr>
            <w:r w:rsidRPr="00EE50E0">
              <w:rPr>
                <w:rFonts w:cs="Arial"/>
                <w:szCs w:val="22"/>
              </w:rPr>
              <w:t>Records relating to the Veterinary Tribunal.</w:t>
            </w:r>
          </w:p>
        </w:tc>
        <w:tc>
          <w:tcPr>
            <w:tcW w:w="672" w:type="pct"/>
          </w:tcPr>
          <w:p w14:paraId="209BDCC7" w14:textId="4B7920CC" w:rsidR="00AA02CC" w:rsidRPr="00A91FB5" w:rsidRDefault="007B5A8A" w:rsidP="007B5A8A">
            <w:pPr>
              <w:pStyle w:val="Tabletext"/>
              <w:spacing w:before="60" w:after="60" w:line="240" w:lineRule="auto"/>
              <w:jc w:val="center"/>
              <w:cnfStyle w:val="010000000000" w:firstRow="0" w:lastRow="1" w:firstColumn="0" w:lastColumn="0" w:oddVBand="0" w:evenVBand="0" w:oddHBand="0" w:evenHBand="0" w:firstRowFirstColumn="0" w:firstRowLastColumn="0" w:lastRowFirstColumn="0" w:lastRowLastColumn="0"/>
              <w:rPr>
                <w:sz w:val="22"/>
                <w:szCs w:val="22"/>
              </w:rPr>
            </w:pPr>
            <w:r>
              <w:rPr>
                <w:sz w:val="22"/>
                <w:szCs w:val="22"/>
              </w:rPr>
              <w:t>1986 – 2009</w:t>
            </w:r>
          </w:p>
        </w:tc>
        <w:tc>
          <w:tcPr>
            <w:tcW w:w="706" w:type="pct"/>
          </w:tcPr>
          <w:p w14:paraId="16717358" w14:textId="77777777" w:rsidR="00AA02CC" w:rsidRDefault="00AA02CC" w:rsidP="00C613C3">
            <w:pPr>
              <w:pStyle w:val="Tabletext"/>
              <w:spacing w:before="60" w:after="60" w:line="240" w:lineRule="auto"/>
              <w:jc w:val="center"/>
              <w:cnfStyle w:val="010000000000" w:firstRow="0" w:lastRow="1" w:firstColumn="0" w:lastColumn="0" w:oddVBand="0" w:evenVBand="0" w:oddHBand="0" w:evenHBand="0" w:firstRowFirstColumn="0" w:firstRowLastColumn="0" w:lastRowFirstColumn="0" w:lastRowLastColumn="0"/>
              <w:rPr>
                <w:sz w:val="22"/>
                <w:szCs w:val="22"/>
              </w:rPr>
            </w:pPr>
            <w:r>
              <w:rPr>
                <w:sz w:val="22"/>
                <w:szCs w:val="22"/>
              </w:rPr>
              <w:t>Permanent</w:t>
            </w:r>
          </w:p>
        </w:tc>
        <w:tc>
          <w:tcPr>
            <w:tcW w:w="1242" w:type="pct"/>
          </w:tcPr>
          <w:p w14:paraId="1962C186" w14:textId="77777777" w:rsidR="00AA02CC" w:rsidRPr="00AA02CC" w:rsidRDefault="00AA02CC" w:rsidP="00C613C3">
            <w:pPr>
              <w:pStyle w:val="Tabletext"/>
              <w:spacing w:before="60" w:after="60" w:line="240" w:lineRule="auto"/>
              <w:cnfStyle w:val="010000000000" w:firstRow="0" w:lastRow="1" w:firstColumn="0" w:lastColumn="0" w:oddVBand="0" w:evenVBand="0" w:oddHBand="0" w:evenHBand="0" w:firstRowFirstColumn="0" w:firstRowLastColumn="0" w:lastRowFirstColumn="0" w:lastRowLastColumn="0"/>
              <w:rPr>
                <w:rFonts w:cs="Arial"/>
                <w:sz w:val="22"/>
                <w:szCs w:val="22"/>
                <w:lang w:eastAsia="en-AU"/>
              </w:rPr>
            </w:pPr>
            <w:r>
              <w:rPr>
                <w:rFonts w:cs="Arial"/>
                <w:sz w:val="22"/>
                <w:szCs w:val="22"/>
                <w:lang w:eastAsia="en-AU"/>
              </w:rPr>
              <w:t>Retain permanently.</w:t>
            </w:r>
          </w:p>
        </w:tc>
      </w:tr>
    </w:tbl>
    <w:p w14:paraId="2DE7F0B5" w14:textId="77777777" w:rsidR="006A7BB9" w:rsidRPr="004977CE" w:rsidRDefault="006A7BB9" w:rsidP="00E56F64"/>
    <w:p w14:paraId="360A1E5B" w14:textId="77777777" w:rsidR="00B742A2" w:rsidRPr="006A7BB9" w:rsidRDefault="00B742A2" w:rsidP="00C613C3">
      <w:pPr>
        <w:spacing w:before="60"/>
      </w:pPr>
    </w:p>
    <w:sectPr w:rsidR="00B742A2" w:rsidRPr="006A7BB9" w:rsidSect="003B2BE5">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1134" w:right="851" w:bottom="1077" w:left="851"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8B259" w14:textId="77777777" w:rsidR="006208F4" w:rsidRDefault="006208F4" w:rsidP="00D32AC7">
      <w:r>
        <w:separator/>
      </w:r>
    </w:p>
  </w:endnote>
  <w:endnote w:type="continuationSeparator" w:id="0">
    <w:p w14:paraId="7EA9DF04" w14:textId="77777777" w:rsidR="006208F4" w:rsidRDefault="006208F4" w:rsidP="00D3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A0642" w14:textId="77777777" w:rsidR="006208F4" w:rsidRDefault="006208F4" w:rsidP="008963FA">
    <w:pPr>
      <w:pStyle w:val="Footer-landscape"/>
      <w:ind w:left="-480" w:right="-464" w:firstLine="480"/>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17</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2DA5" w14:textId="77777777" w:rsidR="006208F4" w:rsidRPr="008B7B5F" w:rsidRDefault="006208F4" w:rsidP="005E49D0">
    <w:pPr>
      <w:pStyle w:val="Footer-landscape"/>
      <w:tabs>
        <w:tab w:val="clear" w:pos="14572"/>
        <w:tab w:val="right" w:pos="15120"/>
      </w:tabs>
    </w:pPr>
    <w:r w:rsidRPr="008B7B5F">
      <w:tab/>
    </w:r>
    <w:r>
      <w:t xml:space="preserve">Page </w:t>
    </w:r>
    <w:r>
      <w:rPr>
        <w:rStyle w:val="PageNumber"/>
      </w:rPr>
      <w:fldChar w:fldCharType="begin"/>
    </w:r>
    <w:r>
      <w:rPr>
        <w:rStyle w:val="PageNumber"/>
      </w:rPr>
      <w:instrText xml:space="preserve"> PAGE </w:instrText>
    </w:r>
    <w:r>
      <w:rPr>
        <w:rStyle w:val="PageNumber"/>
      </w:rPr>
      <w:fldChar w:fldCharType="separate"/>
    </w:r>
    <w:r w:rsidR="00417055">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17055">
      <w:rPr>
        <w:rStyle w:val="PageNumber"/>
        <w:noProof/>
      </w:rPr>
      <w:t>16</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E1857" w14:textId="1C5E36D3" w:rsidR="006208F4" w:rsidRPr="0039204E" w:rsidRDefault="006208F4" w:rsidP="0039204E">
    <w:pPr>
      <w:pStyle w:val="Footer"/>
      <w:rPr>
        <w:szCs w:val="22"/>
      </w:rPr>
    </w:pPr>
    <w:r>
      <w:rPr>
        <w:noProof/>
        <w:szCs w:val="22"/>
        <w:lang w:eastAsia="en-AU"/>
      </w:rPr>
      <w:drawing>
        <wp:anchor distT="0" distB="0" distL="114300" distR="114300" simplePos="0" relativeHeight="251658240" behindDoc="1" locked="0" layoutInCell="1" allowOverlap="1" wp14:anchorId="205DF6BF" wp14:editId="7949B97F">
          <wp:simplePos x="0" y="0"/>
          <wp:positionH relativeFrom="page">
            <wp:posOffset>361315</wp:posOffset>
          </wp:positionH>
          <wp:positionV relativeFrom="page">
            <wp:posOffset>6423660</wp:posOffset>
          </wp:positionV>
          <wp:extent cx="9952355" cy="903605"/>
          <wp:effectExtent l="0" t="0" r="0" b="0"/>
          <wp:wrapNone/>
          <wp:docPr id="94" name="Picture 94" descr="dsitia footer A4 landscap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dsitia footer A4 landscap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2355" cy="9036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D9307" w14:textId="77777777" w:rsidR="006208F4" w:rsidRDefault="006208F4" w:rsidP="00D32AC7">
      <w:r>
        <w:separator/>
      </w:r>
    </w:p>
  </w:footnote>
  <w:footnote w:type="continuationSeparator" w:id="0">
    <w:p w14:paraId="14A58AC6" w14:textId="77777777" w:rsidR="006208F4" w:rsidRDefault="006208F4" w:rsidP="00D32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DB944" w14:textId="77777777" w:rsidR="006208F4" w:rsidRDefault="006208F4" w:rsidP="000166C6">
    <w:pPr>
      <w:pStyle w:val="Header-landscape"/>
      <w:ind w:left="-480" w:right="-464"/>
    </w:pPr>
    <w:r>
      <w:t>Department of Science, Information Technology and Innovation</w:t>
    </w:r>
  </w:p>
  <w:p w14:paraId="480920E5" w14:textId="77777777" w:rsidR="006208F4" w:rsidRPr="0039204E" w:rsidRDefault="006208F4" w:rsidP="003920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6E2BB" w14:textId="2E3C6520" w:rsidR="006208F4" w:rsidRDefault="006208F4" w:rsidP="00EC24B2">
    <w:pPr>
      <w:pStyle w:val="Header-landscape"/>
      <w:pBdr>
        <w:top w:val="single" w:sz="4" w:space="1" w:color="auto"/>
        <w:bottom w:val="single" w:sz="4" w:space="1" w:color="auto"/>
      </w:pBdr>
      <w:tabs>
        <w:tab w:val="clear" w:pos="14572"/>
        <w:tab w:val="right" w:pos="15120"/>
      </w:tabs>
      <w:ind w:left="-142" w:right="-32"/>
      <w:jc w:val="right"/>
    </w:pPr>
    <w:r>
      <w:t>Queensland Civil and Administrative Tribunal (QCAT) Retention and Disposal Schedule QDAN</w:t>
    </w:r>
    <w:r w:rsidR="00312BD9">
      <w:t>731</w:t>
    </w:r>
    <w:r>
      <w:t xml:space="preserve"> v.</w:t>
    </w:r>
    <w:r w:rsidR="00312BD9">
      <w:t>1</w:t>
    </w:r>
    <w:r>
      <w:t xml:space="preserve"> </w:t>
    </w:r>
  </w:p>
  <w:p w14:paraId="31B3A6DD" w14:textId="77777777" w:rsidR="006208F4" w:rsidRDefault="006208F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0DF89" w14:textId="0307E5B1" w:rsidR="006208F4" w:rsidRDefault="006208F4" w:rsidP="00E97154">
    <w:pPr>
      <w:pStyle w:val="Header"/>
    </w:pPr>
    <w:r>
      <w:rPr>
        <w:noProof/>
        <w:lang w:eastAsia="en-AU"/>
      </w:rPr>
      <w:drawing>
        <wp:anchor distT="0" distB="0" distL="114300" distR="114300" simplePos="0" relativeHeight="251657216" behindDoc="1" locked="0" layoutInCell="1" allowOverlap="1" wp14:anchorId="5077D61D" wp14:editId="71A9329F">
          <wp:simplePos x="0" y="0"/>
          <wp:positionH relativeFrom="page">
            <wp:posOffset>361315</wp:posOffset>
          </wp:positionH>
          <wp:positionV relativeFrom="page">
            <wp:posOffset>384175</wp:posOffset>
          </wp:positionV>
          <wp:extent cx="9952355" cy="903605"/>
          <wp:effectExtent l="0" t="0" r="0" b="0"/>
          <wp:wrapNone/>
          <wp:docPr id="93" name="Picture 93" descr="dsiti header A4 landscap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siti header A4 landscap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2355" cy="9036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7BD5"/>
    <w:multiLevelType w:val="multilevel"/>
    <w:tmpl w:val="DB5A87F2"/>
    <w:lvl w:ilvl="0">
      <w:start w:val="1"/>
      <w:numFmt w:val="bullet"/>
      <w:lvlText w:val=""/>
      <w:lvlJc w:val="left"/>
      <w:pPr>
        <w:tabs>
          <w:tab w:val="num" w:pos="357"/>
        </w:tabs>
        <w:ind w:left="720" w:hanging="363"/>
      </w:pPr>
      <w:rPr>
        <w:rFonts w:ascii="Symbol" w:hAnsi="Symbol" w:hint="default"/>
      </w:rPr>
    </w:lvl>
    <w:lvl w:ilvl="1">
      <w:start w:val="1"/>
      <w:numFmt w:val="lowerLetter"/>
      <w:lvlText w:val="%2."/>
      <w:lvlJc w:val="left"/>
      <w:pPr>
        <w:tabs>
          <w:tab w:val="num" w:pos="680"/>
        </w:tabs>
        <w:ind w:left="680" w:hanging="340"/>
      </w:pPr>
      <w:rPr>
        <w:rFonts w:ascii="Arial" w:hAnsi="Arial" w:hint="default"/>
        <w:sz w:val="22"/>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1" w15:restartNumberingAfterBreak="0">
    <w:nsid w:val="02582689"/>
    <w:multiLevelType w:val="hybridMultilevel"/>
    <w:tmpl w:val="03F884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4A2C71"/>
    <w:multiLevelType w:val="multilevel"/>
    <w:tmpl w:val="C778EB54"/>
    <w:numStyleLink w:val="StyleNumbered"/>
  </w:abstractNum>
  <w:abstractNum w:abstractNumId="3" w15:restartNumberingAfterBreak="0">
    <w:nsid w:val="05DC719C"/>
    <w:multiLevelType w:val="multilevel"/>
    <w:tmpl w:val="8DA46BBA"/>
    <w:lvl w:ilvl="0">
      <w:start w:val="1"/>
      <w:numFmt w:val="bullet"/>
      <w:lvlText w:val=""/>
      <w:lvlJc w:val="left"/>
      <w:pPr>
        <w:tabs>
          <w:tab w:val="num" w:pos="680"/>
        </w:tabs>
        <w:ind w:left="680" w:hanging="340"/>
      </w:pPr>
      <w:rPr>
        <w:rFonts w:ascii="Symbol" w:hAnsi="Symbol" w:hint="default"/>
      </w:rPr>
    </w:lvl>
    <w:lvl w:ilvl="1">
      <w:start w:val="1"/>
      <w:numFmt w:val="lowerLetter"/>
      <w:lvlText w:val="%2."/>
      <w:lvlJc w:val="left"/>
      <w:pPr>
        <w:tabs>
          <w:tab w:val="num" w:pos="1020"/>
        </w:tabs>
        <w:ind w:left="1020" w:hanging="340"/>
      </w:pPr>
      <w:rPr>
        <w:rFonts w:ascii="Arial" w:hAnsi="Arial" w:hint="default"/>
        <w:sz w:val="22"/>
      </w:rPr>
    </w:lvl>
    <w:lvl w:ilvl="2">
      <w:start w:val="1"/>
      <w:numFmt w:val="lowerRoman"/>
      <w:lvlText w:val="%3."/>
      <w:lvlJc w:val="left"/>
      <w:pPr>
        <w:tabs>
          <w:tab w:val="num" w:pos="1361"/>
        </w:tabs>
        <w:ind w:left="1361" w:hanging="341"/>
      </w:pPr>
      <w:rPr>
        <w:rFonts w:hint="default"/>
      </w:rPr>
    </w:lvl>
    <w:lvl w:ilvl="3">
      <w:start w:val="1"/>
      <w:numFmt w:val="decimal"/>
      <w:lvlText w:val="%4."/>
      <w:lvlJc w:val="left"/>
      <w:pPr>
        <w:tabs>
          <w:tab w:val="num" w:pos="1701"/>
        </w:tabs>
        <w:ind w:left="1701" w:hanging="340"/>
      </w:pPr>
      <w:rPr>
        <w:rFonts w:hint="default"/>
      </w:rPr>
    </w:lvl>
    <w:lvl w:ilvl="4">
      <w:start w:val="1"/>
      <w:numFmt w:val="lowerLetter"/>
      <w:lvlText w:val="%5."/>
      <w:lvlJc w:val="left"/>
      <w:pPr>
        <w:tabs>
          <w:tab w:val="num" w:pos="2041"/>
        </w:tabs>
        <w:ind w:left="2041" w:hanging="340"/>
      </w:pPr>
      <w:rPr>
        <w:rFonts w:hint="default"/>
      </w:rPr>
    </w:lvl>
    <w:lvl w:ilvl="5">
      <w:start w:val="1"/>
      <w:numFmt w:val="none"/>
      <w:lvlText w:val="%6"/>
      <w:lvlJc w:val="right"/>
      <w:pPr>
        <w:tabs>
          <w:tab w:val="num" w:pos="4660"/>
        </w:tabs>
        <w:ind w:left="4660" w:hanging="180"/>
      </w:pPr>
      <w:rPr>
        <w:rFonts w:hint="default"/>
      </w:rPr>
    </w:lvl>
    <w:lvl w:ilvl="6">
      <w:start w:val="1"/>
      <w:numFmt w:val="none"/>
      <w:lvlText w:val="%7"/>
      <w:lvlJc w:val="left"/>
      <w:pPr>
        <w:tabs>
          <w:tab w:val="num" w:pos="5380"/>
        </w:tabs>
        <w:ind w:left="5380" w:hanging="360"/>
      </w:pPr>
      <w:rPr>
        <w:rFonts w:hint="default"/>
      </w:rPr>
    </w:lvl>
    <w:lvl w:ilvl="7">
      <w:start w:val="1"/>
      <w:numFmt w:val="none"/>
      <w:lvlText w:val="%8"/>
      <w:lvlJc w:val="left"/>
      <w:pPr>
        <w:tabs>
          <w:tab w:val="num" w:pos="6100"/>
        </w:tabs>
        <w:ind w:left="6100" w:hanging="360"/>
      </w:pPr>
      <w:rPr>
        <w:rFonts w:hint="default"/>
      </w:rPr>
    </w:lvl>
    <w:lvl w:ilvl="8">
      <w:start w:val="1"/>
      <w:numFmt w:val="none"/>
      <w:lvlText w:val="%9"/>
      <w:lvlJc w:val="right"/>
      <w:pPr>
        <w:tabs>
          <w:tab w:val="num" w:pos="6820"/>
        </w:tabs>
        <w:ind w:left="6820" w:hanging="180"/>
      </w:pPr>
      <w:rPr>
        <w:rFonts w:hint="default"/>
      </w:rPr>
    </w:lvl>
  </w:abstractNum>
  <w:abstractNum w:abstractNumId="4" w15:restartNumberingAfterBreak="0">
    <w:nsid w:val="086F3559"/>
    <w:multiLevelType w:val="multilevel"/>
    <w:tmpl w:val="DB5A87F2"/>
    <w:lvl w:ilvl="0">
      <w:start w:val="1"/>
      <w:numFmt w:val="bullet"/>
      <w:lvlText w:val=""/>
      <w:lvlJc w:val="left"/>
      <w:pPr>
        <w:tabs>
          <w:tab w:val="num" w:pos="357"/>
        </w:tabs>
        <w:ind w:left="720" w:hanging="363"/>
      </w:pPr>
      <w:rPr>
        <w:rFonts w:ascii="Symbol" w:hAnsi="Symbol" w:hint="default"/>
      </w:rPr>
    </w:lvl>
    <w:lvl w:ilvl="1">
      <w:start w:val="1"/>
      <w:numFmt w:val="lowerLetter"/>
      <w:lvlText w:val="%2."/>
      <w:lvlJc w:val="left"/>
      <w:pPr>
        <w:tabs>
          <w:tab w:val="num" w:pos="680"/>
        </w:tabs>
        <w:ind w:left="680" w:hanging="340"/>
      </w:pPr>
      <w:rPr>
        <w:rFonts w:ascii="Arial" w:hAnsi="Arial" w:hint="default"/>
        <w:sz w:val="22"/>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5" w15:restartNumberingAfterBreak="0">
    <w:nsid w:val="0961740A"/>
    <w:multiLevelType w:val="multilevel"/>
    <w:tmpl w:val="83A60462"/>
    <w:lvl w:ilvl="0">
      <w:start w:val="1"/>
      <w:numFmt w:val="bullet"/>
      <w:lvlText w:val=""/>
      <w:lvlJc w:val="left"/>
      <w:pPr>
        <w:tabs>
          <w:tab w:val="num" w:pos="357"/>
        </w:tabs>
        <w:ind w:left="720" w:hanging="363"/>
      </w:pPr>
      <w:rPr>
        <w:rFonts w:ascii="Symbol" w:hAnsi="Symbol" w:hint="default"/>
      </w:rPr>
    </w:lvl>
    <w:lvl w:ilvl="1">
      <w:start w:val="1"/>
      <w:numFmt w:val="lowerLetter"/>
      <w:lvlText w:val="%2."/>
      <w:lvlJc w:val="left"/>
      <w:pPr>
        <w:tabs>
          <w:tab w:val="num" w:pos="680"/>
        </w:tabs>
        <w:ind w:left="680" w:hanging="340"/>
      </w:pPr>
      <w:rPr>
        <w:rFonts w:ascii="Arial" w:hAnsi="Arial" w:hint="default"/>
        <w:sz w:val="22"/>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6" w15:restartNumberingAfterBreak="0">
    <w:nsid w:val="0EF91888"/>
    <w:multiLevelType w:val="hybridMultilevel"/>
    <w:tmpl w:val="B606B5EC"/>
    <w:lvl w:ilvl="0" w:tplc="EBBAFCC0">
      <w:start w:val="1"/>
      <w:numFmt w:val="bullet"/>
      <w:lvlText w:val=""/>
      <w:lvlJc w:val="left"/>
      <w:pPr>
        <w:ind w:left="720" w:hanging="363"/>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8DD0D15"/>
    <w:multiLevelType w:val="multilevel"/>
    <w:tmpl w:val="B6F0B52A"/>
    <w:lvl w:ilvl="0">
      <w:start w:val="1"/>
      <w:numFmt w:val="bullet"/>
      <w:lvlText w:val=""/>
      <w:lvlJc w:val="left"/>
      <w:pPr>
        <w:tabs>
          <w:tab w:val="num" w:pos="0"/>
        </w:tabs>
        <w:ind w:left="363" w:hanging="363"/>
      </w:pPr>
      <w:rPr>
        <w:rFonts w:ascii="Symbol" w:hAnsi="Symbol" w:hint="default"/>
      </w:rPr>
    </w:lvl>
    <w:lvl w:ilvl="1">
      <w:start w:val="1"/>
      <w:numFmt w:val="lowerLetter"/>
      <w:lvlText w:val="%2."/>
      <w:lvlJc w:val="left"/>
      <w:pPr>
        <w:tabs>
          <w:tab w:val="num" w:pos="-17"/>
        </w:tabs>
        <w:ind w:left="346" w:hanging="363"/>
      </w:pPr>
      <w:rPr>
        <w:rFonts w:ascii="Arial" w:hAnsi="Arial" w:hint="default"/>
        <w:sz w:val="22"/>
      </w:rPr>
    </w:lvl>
    <w:lvl w:ilvl="2">
      <w:start w:val="1"/>
      <w:numFmt w:val="lowerRoman"/>
      <w:lvlText w:val="%3."/>
      <w:lvlJc w:val="left"/>
      <w:pPr>
        <w:tabs>
          <w:tab w:val="num" w:pos="-34"/>
        </w:tabs>
        <w:ind w:left="329" w:hanging="363"/>
      </w:pPr>
      <w:rPr>
        <w:rFonts w:hint="default"/>
      </w:rPr>
    </w:lvl>
    <w:lvl w:ilvl="3">
      <w:start w:val="1"/>
      <w:numFmt w:val="decimal"/>
      <w:lvlText w:val="%4."/>
      <w:lvlJc w:val="left"/>
      <w:pPr>
        <w:tabs>
          <w:tab w:val="num" w:pos="-51"/>
        </w:tabs>
        <w:ind w:left="312" w:hanging="363"/>
      </w:pPr>
      <w:rPr>
        <w:rFonts w:hint="default"/>
      </w:rPr>
    </w:lvl>
    <w:lvl w:ilvl="4">
      <w:start w:val="1"/>
      <w:numFmt w:val="lowerLetter"/>
      <w:lvlText w:val="%5."/>
      <w:lvlJc w:val="left"/>
      <w:pPr>
        <w:tabs>
          <w:tab w:val="num" w:pos="-68"/>
        </w:tabs>
        <w:ind w:left="295" w:hanging="363"/>
      </w:pPr>
      <w:rPr>
        <w:rFonts w:hint="default"/>
      </w:rPr>
    </w:lvl>
    <w:lvl w:ilvl="5">
      <w:start w:val="1"/>
      <w:numFmt w:val="none"/>
      <w:lvlText w:val="%6"/>
      <w:lvlJc w:val="right"/>
      <w:pPr>
        <w:tabs>
          <w:tab w:val="num" w:pos="-85"/>
        </w:tabs>
        <w:ind w:left="278" w:hanging="363"/>
      </w:pPr>
      <w:rPr>
        <w:rFonts w:hint="default"/>
      </w:rPr>
    </w:lvl>
    <w:lvl w:ilvl="6">
      <w:start w:val="1"/>
      <w:numFmt w:val="none"/>
      <w:lvlText w:val="%7"/>
      <w:lvlJc w:val="left"/>
      <w:pPr>
        <w:tabs>
          <w:tab w:val="num" w:pos="-102"/>
        </w:tabs>
        <w:ind w:left="261" w:hanging="363"/>
      </w:pPr>
      <w:rPr>
        <w:rFonts w:hint="default"/>
      </w:rPr>
    </w:lvl>
    <w:lvl w:ilvl="7">
      <w:start w:val="1"/>
      <w:numFmt w:val="none"/>
      <w:lvlText w:val="%8"/>
      <w:lvlJc w:val="left"/>
      <w:pPr>
        <w:tabs>
          <w:tab w:val="num" w:pos="-119"/>
        </w:tabs>
        <w:ind w:left="244" w:hanging="363"/>
      </w:pPr>
      <w:rPr>
        <w:rFonts w:hint="default"/>
      </w:rPr>
    </w:lvl>
    <w:lvl w:ilvl="8">
      <w:start w:val="1"/>
      <w:numFmt w:val="none"/>
      <w:lvlText w:val="%9"/>
      <w:lvlJc w:val="right"/>
      <w:pPr>
        <w:tabs>
          <w:tab w:val="num" w:pos="-136"/>
        </w:tabs>
        <w:ind w:left="227" w:hanging="363"/>
      </w:pPr>
      <w:rPr>
        <w:rFonts w:hint="default"/>
      </w:rPr>
    </w:lvl>
  </w:abstractNum>
  <w:abstractNum w:abstractNumId="8" w15:restartNumberingAfterBreak="0">
    <w:nsid w:val="198C507D"/>
    <w:multiLevelType w:val="multilevel"/>
    <w:tmpl w:val="C778EB54"/>
    <w:styleLink w:val="StyleNumbered"/>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ascii="Arial" w:hAnsi="Arial" w:hint="default"/>
        <w:sz w:val="22"/>
      </w:rPr>
    </w:lvl>
    <w:lvl w:ilvl="2">
      <w:start w:val="1"/>
      <w:numFmt w:val="lowerRoman"/>
      <w:pStyle w:val="ListNumber3"/>
      <w:lvlText w:val="%3."/>
      <w:lvlJc w:val="left"/>
      <w:pPr>
        <w:tabs>
          <w:tab w:val="num" w:pos="1021"/>
        </w:tabs>
        <w:ind w:left="1021" w:hanging="341"/>
      </w:pPr>
      <w:rPr>
        <w:rFonts w:hint="default"/>
      </w:rPr>
    </w:lvl>
    <w:lvl w:ilvl="3">
      <w:start w:val="1"/>
      <w:numFmt w:val="decimal"/>
      <w:pStyle w:val="ListNumber4"/>
      <w:lvlText w:val="%4."/>
      <w:lvlJc w:val="left"/>
      <w:pPr>
        <w:tabs>
          <w:tab w:val="num" w:pos="1361"/>
        </w:tabs>
        <w:ind w:left="1361" w:hanging="340"/>
      </w:pPr>
      <w:rPr>
        <w:rFonts w:hint="default"/>
      </w:rPr>
    </w:lvl>
    <w:lvl w:ilvl="4">
      <w:start w:val="1"/>
      <w:numFmt w:val="lowerLetter"/>
      <w:pStyle w:val="ListNumber5"/>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9" w15:restartNumberingAfterBreak="0">
    <w:nsid w:val="22140FDD"/>
    <w:multiLevelType w:val="multilevel"/>
    <w:tmpl w:val="DB5A87F2"/>
    <w:lvl w:ilvl="0">
      <w:start w:val="1"/>
      <w:numFmt w:val="bullet"/>
      <w:lvlText w:val=""/>
      <w:lvlJc w:val="left"/>
      <w:pPr>
        <w:tabs>
          <w:tab w:val="num" w:pos="357"/>
        </w:tabs>
        <w:ind w:left="720" w:hanging="363"/>
      </w:pPr>
      <w:rPr>
        <w:rFonts w:ascii="Symbol" w:hAnsi="Symbol" w:hint="default"/>
      </w:rPr>
    </w:lvl>
    <w:lvl w:ilvl="1">
      <w:start w:val="1"/>
      <w:numFmt w:val="lowerLetter"/>
      <w:lvlText w:val="%2."/>
      <w:lvlJc w:val="left"/>
      <w:pPr>
        <w:tabs>
          <w:tab w:val="num" w:pos="680"/>
        </w:tabs>
        <w:ind w:left="680" w:hanging="340"/>
      </w:pPr>
      <w:rPr>
        <w:rFonts w:ascii="Arial" w:hAnsi="Arial" w:hint="default"/>
        <w:sz w:val="22"/>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10" w15:restartNumberingAfterBreak="0">
    <w:nsid w:val="26B05742"/>
    <w:multiLevelType w:val="multilevel"/>
    <w:tmpl w:val="8DA46BBA"/>
    <w:lvl w:ilvl="0">
      <w:start w:val="1"/>
      <w:numFmt w:val="bullet"/>
      <w:lvlText w:val=""/>
      <w:lvlJc w:val="left"/>
      <w:pPr>
        <w:tabs>
          <w:tab w:val="num" w:pos="680"/>
        </w:tabs>
        <w:ind w:left="680" w:hanging="340"/>
      </w:pPr>
      <w:rPr>
        <w:rFonts w:ascii="Symbol" w:hAnsi="Symbol" w:hint="default"/>
      </w:rPr>
    </w:lvl>
    <w:lvl w:ilvl="1">
      <w:start w:val="1"/>
      <w:numFmt w:val="lowerLetter"/>
      <w:lvlText w:val="%2."/>
      <w:lvlJc w:val="left"/>
      <w:pPr>
        <w:tabs>
          <w:tab w:val="num" w:pos="1020"/>
        </w:tabs>
        <w:ind w:left="1020" w:hanging="340"/>
      </w:pPr>
      <w:rPr>
        <w:rFonts w:ascii="Arial" w:hAnsi="Arial" w:hint="default"/>
        <w:sz w:val="22"/>
      </w:rPr>
    </w:lvl>
    <w:lvl w:ilvl="2">
      <w:start w:val="1"/>
      <w:numFmt w:val="lowerRoman"/>
      <w:lvlText w:val="%3."/>
      <w:lvlJc w:val="left"/>
      <w:pPr>
        <w:tabs>
          <w:tab w:val="num" w:pos="1361"/>
        </w:tabs>
        <w:ind w:left="1361" w:hanging="341"/>
      </w:pPr>
      <w:rPr>
        <w:rFonts w:hint="default"/>
      </w:rPr>
    </w:lvl>
    <w:lvl w:ilvl="3">
      <w:start w:val="1"/>
      <w:numFmt w:val="decimal"/>
      <w:lvlText w:val="%4."/>
      <w:lvlJc w:val="left"/>
      <w:pPr>
        <w:tabs>
          <w:tab w:val="num" w:pos="1701"/>
        </w:tabs>
        <w:ind w:left="1701" w:hanging="340"/>
      </w:pPr>
      <w:rPr>
        <w:rFonts w:hint="default"/>
      </w:rPr>
    </w:lvl>
    <w:lvl w:ilvl="4">
      <w:start w:val="1"/>
      <w:numFmt w:val="lowerLetter"/>
      <w:lvlText w:val="%5."/>
      <w:lvlJc w:val="left"/>
      <w:pPr>
        <w:tabs>
          <w:tab w:val="num" w:pos="2041"/>
        </w:tabs>
        <w:ind w:left="2041" w:hanging="340"/>
      </w:pPr>
      <w:rPr>
        <w:rFonts w:hint="default"/>
      </w:rPr>
    </w:lvl>
    <w:lvl w:ilvl="5">
      <w:start w:val="1"/>
      <w:numFmt w:val="none"/>
      <w:lvlText w:val="%6"/>
      <w:lvlJc w:val="right"/>
      <w:pPr>
        <w:tabs>
          <w:tab w:val="num" w:pos="4660"/>
        </w:tabs>
        <w:ind w:left="4660" w:hanging="180"/>
      </w:pPr>
      <w:rPr>
        <w:rFonts w:hint="default"/>
      </w:rPr>
    </w:lvl>
    <w:lvl w:ilvl="6">
      <w:start w:val="1"/>
      <w:numFmt w:val="none"/>
      <w:lvlText w:val="%7"/>
      <w:lvlJc w:val="left"/>
      <w:pPr>
        <w:tabs>
          <w:tab w:val="num" w:pos="5380"/>
        </w:tabs>
        <w:ind w:left="5380" w:hanging="360"/>
      </w:pPr>
      <w:rPr>
        <w:rFonts w:hint="default"/>
      </w:rPr>
    </w:lvl>
    <w:lvl w:ilvl="7">
      <w:start w:val="1"/>
      <w:numFmt w:val="none"/>
      <w:lvlText w:val="%8"/>
      <w:lvlJc w:val="left"/>
      <w:pPr>
        <w:tabs>
          <w:tab w:val="num" w:pos="6100"/>
        </w:tabs>
        <w:ind w:left="6100" w:hanging="360"/>
      </w:pPr>
      <w:rPr>
        <w:rFonts w:hint="default"/>
      </w:rPr>
    </w:lvl>
    <w:lvl w:ilvl="8">
      <w:start w:val="1"/>
      <w:numFmt w:val="none"/>
      <w:lvlText w:val="%9"/>
      <w:lvlJc w:val="right"/>
      <w:pPr>
        <w:tabs>
          <w:tab w:val="num" w:pos="6820"/>
        </w:tabs>
        <w:ind w:left="6820" w:hanging="180"/>
      </w:pPr>
      <w:rPr>
        <w:rFonts w:hint="default"/>
      </w:rPr>
    </w:lvl>
  </w:abstractNum>
  <w:abstractNum w:abstractNumId="11" w15:restartNumberingAfterBreak="0">
    <w:nsid w:val="33EB0812"/>
    <w:multiLevelType w:val="hybridMultilevel"/>
    <w:tmpl w:val="B428F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612968"/>
    <w:multiLevelType w:val="multilevel"/>
    <w:tmpl w:val="0964B55E"/>
    <w:lvl w:ilvl="0">
      <w:start w:val="1"/>
      <w:numFmt w:val="bullet"/>
      <w:lvlText w:val=""/>
      <w:lvlJc w:val="left"/>
      <w:pPr>
        <w:tabs>
          <w:tab w:val="num" w:pos="357"/>
        </w:tabs>
        <w:ind w:left="720" w:hanging="363"/>
      </w:pPr>
      <w:rPr>
        <w:rFonts w:ascii="Symbol" w:hAnsi="Symbol" w:hint="default"/>
      </w:rPr>
    </w:lvl>
    <w:lvl w:ilvl="1">
      <w:start w:val="1"/>
      <w:numFmt w:val="lowerLetter"/>
      <w:lvlText w:val="%2."/>
      <w:lvlJc w:val="left"/>
      <w:pPr>
        <w:tabs>
          <w:tab w:val="num" w:pos="340"/>
        </w:tabs>
        <w:ind w:left="703" w:hanging="363"/>
      </w:pPr>
      <w:rPr>
        <w:rFonts w:ascii="Arial" w:hAnsi="Arial" w:hint="default"/>
        <w:sz w:val="22"/>
      </w:rPr>
    </w:lvl>
    <w:lvl w:ilvl="2">
      <w:start w:val="1"/>
      <w:numFmt w:val="lowerRoman"/>
      <w:lvlText w:val="%3."/>
      <w:lvlJc w:val="left"/>
      <w:pPr>
        <w:tabs>
          <w:tab w:val="num" w:pos="323"/>
        </w:tabs>
        <w:ind w:left="686" w:hanging="363"/>
      </w:pPr>
      <w:rPr>
        <w:rFonts w:hint="default"/>
      </w:rPr>
    </w:lvl>
    <w:lvl w:ilvl="3">
      <w:start w:val="1"/>
      <w:numFmt w:val="decimal"/>
      <w:lvlText w:val="%4."/>
      <w:lvlJc w:val="left"/>
      <w:pPr>
        <w:tabs>
          <w:tab w:val="num" w:pos="306"/>
        </w:tabs>
        <w:ind w:left="669" w:hanging="363"/>
      </w:pPr>
      <w:rPr>
        <w:rFonts w:hint="default"/>
      </w:rPr>
    </w:lvl>
    <w:lvl w:ilvl="4">
      <w:start w:val="1"/>
      <w:numFmt w:val="lowerLetter"/>
      <w:lvlText w:val="%5."/>
      <w:lvlJc w:val="left"/>
      <w:pPr>
        <w:tabs>
          <w:tab w:val="num" w:pos="289"/>
        </w:tabs>
        <w:ind w:left="652" w:hanging="363"/>
      </w:pPr>
      <w:rPr>
        <w:rFonts w:hint="default"/>
      </w:rPr>
    </w:lvl>
    <w:lvl w:ilvl="5">
      <w:start w:val="1"/>
      <w:numFmt w:val="none"/>
      <w:lvlText w:val="%6"/>
      <w:lvlJc w:val="right"/>
      <w:pPr>
        <w:tabs>
          <w:tab w:val="num" w:pos="272"/>
        </w:tabs>
        <w:ind w:left="635" w:hanging="363"/>
      </w:pPr>
      <w:rPr>
        <w:rFonts w:hint="default"/>
      </w:rPr>
    </w:lvl>
    <w:lvl w:ilvl="6">
      <w:start w:val="1"/>
      <w:numFmt w:val="none"/>
      <w:lvlText w:val="%7"/>
      <w:lvlJc w:val="left"/>
      <w:pPr>
        <w:tabs>
          <w:tab w:val="num" w:pos="255"/>
        </w:tabs>
        <w:ind w:left="618" w:hanging="363"/>
      </w:pPr>
      <w:rPr>
        <w:rFonts w:hint="default"/>
      </w:rPr>
    </w:lvl>
    <w:lvl w:ilvl="7">
      <w:start w:val="1"/>
      <w:numFmt w:val="none"/>
      <w:lvlText w:val="%8"/>
      <w:lvlJc w:val="left"/>
      <w:pPr>
        <w:tabs>
          <w:tab w:val="num" w:pos="238"/>
        </w:tabs>
        <w:ind w:left="601" w:hanging="363"/>
      </w:pPr>
      <w:rPr>
        <w:rFonts w:hint="default"/>
      </w:rPr>
    </w:lvl>
    <w:lvl w:ilvl="8">
      <w:start w:val="1"/>
      <w:numFmt w:val="none"/>
      <w:lvlText w:val="%9"/>
      <w:lvlJc w:val="right"/>
      <w:pPr>
        <w:tabs>
          <w:tab w:val="num" w:pos="221"/>
        </w:tabs>
        <w:ind w:left="584" w:hanging="363"/>
      </w:pPr>
      <w:rPr>
        <w:rFonts w:hint="default"/>
      </w:rPr>
    </w:lvl>
  </w:abstractNum>
  <w:abstractNum w:abstractNumId="13" w15:restartNumberingAfterBreak="0">
    <w:nsid w:val="39A119D1"/>
    <w:multiLevelType w:val="multilevel"/>
    <w:tmpl w:val="B6F0B52A"/>
    <w:lvl w:ilvl="0">
      <w:start w:val="1"/>
      <w:numFmt w:val="bullet"/>
      <w:lvlText w:val=""/>
      <w:lvlJc w:val="left"/>
      <w:pPr>
        <w:tabs>
          <w:tab w:val="num" w:pos="357"/>
        </w:tabs>
        <w:ind w:left="720" w:hanging="363"/>
      </w:pPr>
      <w:rPr>
        <w:rFonts w:ascii="Symbol" w:hAnsi="Symbol" w:hint="default"/>
      </w:rPr>
    </w:lvl>
    <w:lvl w:ilvl="1">
      <w:start w:val="1"/>
      <w:numFmt w:val="lowerLetter"/>
      <w:lvlText w:val="%2."/>
      <w:lvlJc w:val="left"/>
      <w:pPr>
        <w:tabs>
          <w:tab w:val="num" w:pos="340"/>
        </w:tabs>
        <w:ind w:left="703" w:hanging="363"/>
      </w:pPr>
      <w:rPr>
        <w:rFonts w:ascii="Arial" w:hAnsi="Arial" w:hint="default"/>
        <w:sz w:val="22"/>
      </w:rPr>
    </w:lvl>
    <w:lvl w:ilvl="2">
      <w:start w:val="1"/>
      <w:numFmt w:val="lowerRoman"/>
      <w:lvlText w:val="%3."/>
      <w:lvlJc w:val="left"/>
      <w:pPr>
        <w:tabs>
          <w:tab w:val="num" w:pos="323"/>
        </w:tabs>
        <w:ind w:left="686" w:hanging="363"/>
      </w:pPr>
      <w:rPr>
        <w:rFonts w:hint="default"/>
      </w:rPr>
    </w:lvl>
    <w:lvl w:ilvl="3">
      <w:start w:val="1"/>
      <w:numFmt w:val="decimal"/>
      <w:lvlText w:val="%4."/>
      <w:lvlJc w:val="left"/>
      <w:pPr>
        <w:tabs>
          <w:tab w:val="num" w:pos="306"/>
        </w:tabs>
        <w:ind w:left="669" w:hanging="363"/>
      </w:pPr>
      <w:rPr>
        <w:rFonts w:hint="default"/>
      </w:rPr>
    </w:lvl>
    <w:lvl w:ilvl="4">
      <w:start w:val="1"/>
      <w:numFmt w:val="lowerLetter"/>
      <w:lvlText w:val="%5."/>
      <w:lvlJc w:val="left"/>
      <w:pPr>
        <w:tabs>
          <w:tab w:val="num" w:pos="289"/>
        </w:tabs>
        <w:ind w:left="652" w:hanging="363"/>
      </w:pPr>
      <w:rPr>
        <w:rFonts w:hint="default"/>
      </w:rPr>
    </w:lvl>
    <w:lvl w:ilvl="5">
      <w:start w:val="1"/>
      <w:numFmt w:val="none"/>
      <w:lvlText w:val="%6"/>
      <w:lvlJc w:val="right"/>
      <w:pPr>
        <w:tabs>
          <w:tab w:val="num" w:pos="272"/>
        </w:tabs>
        <w:ind w:left="635" w:hanging="363"/>
      </w:pPr>
      <w:rPr>
        <w:rFonts w:hint="default"/>
      </w:rPr>
    </w:lvl>
    <w:lvl w:ilvl="6">
      <w:start w:val="1"/>
      <w:numFmt w:val="none"/>
      <w:lvlText w:val="%7"/>
      <w:lvlJc w:val="left"/>
      <w:pPr>
        <w:tabs>
          <w:tab w:val="num" w:pos="255"/>
        </w:tabs>
        <w:ind w:left="618" w:hanging="363"/>
      </w:pPr>
      <w:rPr>
        <w:rFonts w:hint="default"/>
      </w:rPr>
    </w:lvl>
    <w:lvl w:ilvl="7">
      <w:start w:val="1"/>
      <w:numFmt w:val="none"/>
      <w:lvlText w:val="%8"/>
      <w:lvlJc w:val="left"/>
      <w:pPr>
        <w:tabs>
          <w:tab w:val="num" w:pos="238"/>
        </w:tabs>
        <w:ind w:left="601" w:hanging="363"/>
      </w:pPr>
      <w:rPr>
        <w:rFonts w:hint="default"/>
      </w:rPr>
    </w:lvl>
    <w:lvl w:ilvl="8">
      <w:start w:val="1"/>
      <w:numFmt w:val="none"/>
      <w:lvlText w:val="%9"/>
      <w:lvlJc w:val="right"/>
      <w:pPr>
        <w:tabs>
          <w:tab w:val="num" w:pos="221"/>
        </w:tabs>
        <w:ind w:left="584" w:hanging="363"/>
      </w:pPr>
      <w:rPr>
        <w:rFonts w:hint="default"/>
      </w:rPr>
    </w:lvl>
  </w:abstractNum>
  <w:abstractNum w:abstractNumId="14" w15:restartNumberingAfterBreak="0">
    <w:nsid w:val="3A8F4400"/>
    <w:multiLevelType w:val="hybridMultilevel"/>
    <w:tmpl w:val="E2C66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5E45C8"/>
    <w:multiLevelType w:val="multilevel"/>
    <w:tmpl w:val="DB5A87F2"/>
    <w:lvl w:ilvl="0">
      <w:start w:val="1"/>
      <w:numFmt w:val="bullet"/>
      <w:lvlText w:val=""/>
      <w:lvlJc w:val="left"/>
      <w:pPr>
        <w:tabs>
          <w:tab w:val="num" w:pos="357"/>
        </w:tabs>
        <w:ind w:left="720" w:hanging="363"/>
      </w:pPr>
      <w:rPr>
        <w:rFonts w:ascii="Symbol" w:hAnsi="Symbol" w:hint="default"/>
      </w:rPr>
    </w:lvl>
    <w:lvl w:ilvl="1">
      <w:start w:val="1"/>
      <w:numFmt w:val="lowerLetter"/>
      <w:lvlText w:val="%2."/>
      <w:lvlJc w:val="left"/>
      <w:pPr>
        <w:tabs>
          <w:tab w:val="num" w:pos="680"/>
        </w:tabs>
        <w:ind w:left="680" w:hanging="340"/>
      </w:pPr>
      <w:rPr>
        <w:rFonts w:ascii="Arial" w:hAnsi="Arial" w:hint="default"/>
        <w:sz w:val="22"/>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16" w15:restartNumberingAfterBreak="0">
    <w:nsid w:val="3D8E27ED"/>
    <w:multiLevelType w:val="multilevel"/>
    <w:tmpl w:val="DB5A87F2"/>
    <w:lvl w:ilvl="0">
      <w:start w:val="1"/>
      <w:numFmt w:val="bullet"/>
      <w:lvlText w:val=""/>
      <w:lvlJc w:val="left"/>
      <w:pPr>
        <w:tabs>
          <w:tab w:val="num" w:pos="357"/>
        </w:tabs>
        <w:ind w:left="720" w:hanging="363"/>
      </w:pPr>
      <w:rPr>
        <w:rFonts w:ascii="Symbol" w:hAnsi="Symbol" w:hint="default"/>
      </w:rPr>
    </w:lvl>
    <w:lvl w:ilvl="1">
      <w:start w:val="1"/>
      <w:numFmt w:val="lowerLetter"/>
      <w:lvlText w:val="%2."/>
      <w:lvlJc w:val="left"/>
      <w:pPr>
        <w:tabs>
          <w:tab w:val="num" w:pos="680"/>
        </w:tabs>
        <w:ind w:left="680" w:hanging="340"/>
      </w:pPr>
      <w:rPr>
        <w:rFonts w:ascii="Arial" w:hAnsi="Arial" w:hint="default"/>
        <w:sz w:val="22"/>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17" w15:restartNumberingAfterBreak="0">
    <w:nsid w:val="3DE6721E"/>
    <w:multiLevelType w:val="multilevel"/>
    <w:tmpl w:val="DB5A87F2"/>
    <w:lvl w:ilvl="0">
      <w:start w:val="1"/>
      <w:numFmt w:val="bullet"/>
      <w:lvlText w:val=""/>
      <w:lvlJc w:val="left"/>
      <w:pPr>
        <w:tabs>
          <w:tab w:val="num" w:pos="357"/>
        </w:tabs>
        <w:ind w:left="720" w:hanging="363"/>
      </w:pPr>
      <w:rPr>
        <w:rFonts w:ascii="Symbol" w:hAnsi="Symbol" w:hint="default"/>
      </w:rPr>
    </w:lvl>
    <w:lvl w:ilvl="1">
      <w:start w:val="1"/>
      <w:numFmt w:val="lowerLetter"/>
      <w:lvlText w:val="%2."/>
      <w:lvlJc w:val="left"/>
      <w:pPr>
        <w:tabs>
          <w:tab w:val="num" w:pos="680"/>
        </w:tabs>
        <w:ind w:left="680" w:hanging="340"/>
      </w:pPr>
      <w:rPr>
        <w:rFonts w:ascii="Arial" w:hAnsi="Arial" w:hint="default"/>
        <w:sz w:val="22"/>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18" w15:restartNumberingAfterBreak="0">
    <w:nsid w:val="404136B6"/>
    <w:multiLevelType w:val="hybridMultilevel"/>
    <w:tmpl w:val="201AEB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12612DA"/>
    <w:multiLevelType w:val="multilevel"/>
    <w:tmpl w:val="83A60462"/>
    <w:lvl w:ilvl="0">
      <w:start w:val="1"/>
      <w:numFmt w:val="bullet"/>
      <w:lvlText w:val=""/>
      <w:lvlJc w:val="left"/>
      <w:pPr>
        <w:tabs>
          <w:tab w:val="num" w:pos="357"/>
        </w:tabs>
        <w:ind w:left="720" w:hanging="363"/>
      </w:pPr>
      <w:rPr>
        <w:rFonts w:ascii="Symbol" w:hAnsi="Symbol" w:hint="default"/>
      </w:rPr>
    </w:lvl>
    <w:lvl w:ilvl="1">
      <w:start w:val="1"/>
      <w:numFmt w:val="lowerLetter"/>
      <w:lvlText w:val="%2."/>
      <w:lvlJc w:val="left"/>
      <w:pPr>
        <w:tabs>
          <w:tab w:val="num" w:pos="680"/>
        </w:tabs>
        <w:ind w:left="680" w:hanging="340"/>
      </w:pPr>
      <w:rPr>
        <w:rFonts w:ascii="Arial" w:hAnsi="Arial" w:hint="default"/>
        <w:sz w:val="22"/>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20" w15:restartNumberingAfterBreak="0">
    <w:nsid w:val="42811E42"/>
    <w:multiLevelType w:val="multilevel"/>
    <w:tmpl w:val="0964B55E"/>
    <w:lvl w:ilvl="0">
      <w:start w:val="1"/>
      <w:numFmt w:val="bullet"/>
      <w:lvlText w:val=""/>
      <w:lvlJc w:val="left"/>
      <w:pPr>
        <w:tabs>
          <w:tab w:val="num" w:pos="357"/>
        </w:tabs>
        <w:ind w:left="720" w:hanging="363"/>
      </w:pPr>
      <w:rPr>
        <w:rFonts w:ascii="Symbol" w:hAnsi="Symbol" w:hint="default"/>
      </w:rPr>
    </w:lvl>
    <w:lvl w:ilvl="1">
      <w:start w:val="1"/>
      <w:numFmt w:val="lowerLetter"/>
      <w:lvlText w:val="%2."/>
      <w:lvlJc w:val="left"/>
      <w:pPr>
        <w:tabs>
          <w:tab w:val="num" w:pos="340"/>
        </w:tabs>
        <w:ind w:left="703" w:hanging="363"/>
      </w:pPr>
      <w:rPr>
        <w:rFonts w:ascii="Arial" w:hAnsi="Arial" w:hint="default"/>
        <w:sz w:val="22"/>
      </w:rPr>
    </w:lvl>
    <w:lvl w:ilvl="2">
      <w:start w:val="1"/>
      <w:numFmt w:val="lowerRoman"/>
      <w:lvlText w:val="%3."/>
      <w:lvlJc w:val="left"/>
      <w:pPr>
        <w:tabs>
          <w:tab w:val="num" w:pos="323"/>
        </w:tabs>
        <w:ind w:left="686" w:hanging="363"/>
      </w:pPr>
      <w:rPr>
        <w:rFonts w:hint="default"/>
      </w:rPr>
    </w:lvl>
    <w:lvl w:ilvl="3">
      <w:start w:val="1"/>
      <w:numFmt w:val="decimal"/>
      <w:lvlText w:val="%4."/>
      <w:lvlJc w:val="left"/>
      <w:pPr>
        <w:tabs>
          <w:tab w:val="num" w:pos="306"/>
        </w:tabs>
        <w:ind w:left="669" w:hanging="363"/>
      </w:pPr>
      <w:rPr>
        <w:rFonts w:hint="default"/>
      </w:rPr>
    </w:lvl>
    <w:lvl w:ilvl="4">
      <w:start w:val="1"/>
      <w:numFmt w:val="lowerLetter"/>
      <w:lvlText w:val="%5."/>
      <w:lvlJc w:val="left"/>
      <w:pPr>
        <w:tabs>
          <w:tab w:val="num" w:pos="289"/>
        </w:tabs>
        <w:ind w:left="652" w:hanging="363"/>
      </w:pPr>
      <w:rPr>
        <w:rFonts w:hint="default"/>
      </w:rPr>
    </w:lvl>
    <w:lvl w:ilvl="5">
      <w:start w:val="1"/>
      <w:numFmt w:val="none"/>
      <w:lvlText w:val="%6"/>
      <w:lvlJc w:val="right"/>
      <w:pPr>
        <w:tabs>
          <w:tab w:val="num" w:pos="272"/>
        </w:tabs>
        <w:ind w:left="635" w:hanging="363"/>
      </w:pPr>
      <w:rPr>
        <w:rFonts w:hint="default"/>
      </w:rPr>
    </w:lvl>
    <w:lvl w:ilvl="6">
      <w:start w:val="1"/>
      <w:numFmt w:val="none"/>
      <w:lvlText w:val="%7"/>
      <w:lvlJc w:val="left"/>
      <w:pPr>
        <w:tabs>
          <w:tab w:val="num" w:pos="255"/>
        </w:tabs>
        <w:ind w:left="618" w:hanging="363"/>
      </w:pPr>
      <w:rPr>
        <w:rFonts w:hint="default"/>
      </w:rPr>
    </w:lvl>
    <w:lvl w:ilvl="7">
      <w:start w:val="1"/>
      <w:numFmt w:val="none"/>
      <w:lvlText w:val="%8"/>
      <w:lvlJc w:val="left"/>
      <w:pPr>
        <w:tabs>
          <w:tab w:val="num" w:pos="238"/>
        </w:tabs>
        <w:ind w:left="601" w:hanging="363"/>
      </w:pPr>
      <w:rPr>
        <w:rFonts w:hint="default"/>
      </w:rPr>
    </w:lvl>
    <w:lvl w:ilvl="8">
      <w:start w:val="1"/>
      <w:numFmt w:val="none"/>
      <w:lvlText w:val="%9"/>
      <w:lvlJc w:val="right"/>
      <w:pPr>
        <w:tabs>
          <w:tab w:val="num" w:pos="221"/>
        </w:tabs>
        <w:ind w:left="584" w:hanging="363"/>
      </w:pPr>
      <w:rPr>
        <w:rFonts w:hint="default"/>
      </w:rPr>
    </w:lvl>
  </w:abstractNum>
  <w:abstractNum w:abstractNumId="21" w15:restartNumberingAfterBreak="0">
    <w:nsid w:val="435840AC"/>
    <w:multiLevelType w:val="hybridMultilevel"/>
    <w:tmpl w:val="848A3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311C9B"/>
    <w:multiLevelType w:val="hybridMultilevel"/>
    <w:tmpl w:val="394ED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9552A7"/>
    <w:multiLevelType w:val="multilevel"/>
    <w:tmpl w:val="B7EA22CA"/>
    <w:name w:val="Bullets22"/>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
      <w:lvlJc w:val="left"/>
      <w:pPr>
        <w:tabs>
          <w:tab w:val="num" w:pos="680"/>
        </w:tabs>
        <w:ind w:left="680" w:hanging="340"/>
      </w:pPr>
      <w:rPr>
        <w:rFonts w:ascii="Arial" w:hAnsi="Arial" w:hint="default"/>
      </w:rPr>
    </w:lvl>
    <w:lvl w:ilvl="2">
      <w:start w:val="1"/>
      <w:numFmt w:val="bullet"/>
      <w:pStyle w:val="ListBullet3"/>
      <w:lvlText w:val="◦"/>
      <w:lvlJc w:val="left"/>
      <w:pPr>
        <w:tabs>
          <w:tab w:val="num" w:pos="1021"/>
        </w:tabs>
        <w:ind w:left="1021" w:hanging="341"/>
      </w:pPr>
      <w:rPr>
        <w:rFonts w:ascii="Arial" w:hAnsi="Arial" w:hint="default"/>
      </w:rPr>
    </w:lvl>
    <w:lvl w:ilvl="3">
      <w:start w:val="1"/>
      <w:numFmt w:val="bullet"/>
      <w:pStyle w:val="ListBullet4"/>
      <w:lvlText w:val="▪"/>
      <w:lvlJc w:val="left"/>
      <w:pPr>
        <w:tabs>
          <w:tab w:val="num" w:pos="1361"/>
        </w:tabs>
        <w:ind w:left="1361" w:hanging="340"/>
      </w:pPr>
      <w:rPr>
        <w:rFonts w:ascii="Arial" w:hAnsi="Arial" w:hint="default"/>
      </w:rPr>
    </w:lvl>
    <w:lvl w:ilvl="4">
      <w:start w:val="1"/>
      <w:numFmt w:val="bullet"/>
      <w:pStyle w:val="ListBullet5"/>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4DC54F15"/>
    <w:multiLevelType w:val="multilevel"/>
    <w:tmpl w:val="57B42CA6"/>
    <w:lvl w:ilvl="0">
      <w:start w:val="1"/>
      <w:numFmt w:val="lowerLetter"/>
      <w:lvlText w:val="%1)"/>
      <w:lvlJc w:val="left"/>
      <w:pPr>
        <w:tabs>
          <w:tab w:val="num" w:pos="357"/>
        </w:tabs>
        <w:ind w:left="720" w:hanging="363"/>
      </w:pPr>
      <w:rPr>
        <w:rFonts w:hint="default"/>
      </w:rPr>
    </w:lvl>
    <w:lvl w:ilvl="1">
      <w:start w:val="1"/>
      <w:numFmt w:val="lowerLetter"/>
      <w:lvlText w:val="%2."/>
      <w:lvlJc w:val="left"/>
      <w:pPr>
        <w:tabs>
          <w:tab w:val="num" w:pos="340"/>
        </w:tabs>
        <w:ind w:left="703" w:hanging="363"/>
      </w:pPr>
      <w:rPr>
        <w:rFonts w:ascii="Arial" w:hAnsi="Arial" w:hint="default"/>
        <w:sz w:val="22"/>
      </w:rPr>
    </w:lvl>
    <w:lvl w:ilvl="2">
      <w:start w:val="1"/>
      <w:numFmt w:val="lowerRoman"/>
      <w:lvlText w:val="%3."/>
      <w:lvlJc w:val="left"/>
      <w:pPr>
        <w:tabs>
          <w:tab w:val="num" w:pos="323"/>
        </w:tabs>
        <w:ind w:left="686" w:hanging="363"/>
      </w:pPr>
      <w:rPr>
        <w:rFonts w:hint="default"/>
      </w:rPr>
    </w:lvl>
    <w:lvl w:ilvl="3">
      <w:start w:val="1"/>
      <w:numFmt w:val="decimal"/>
      <w:lvlText w:val="%4."/>
      <w:lvlJc w:val="left"/>
      <w:pPr>
        <w:tabs>
          <w:tab w:val="num" w:pos="306"/>
        </w:tabs>
        <w:ind w:left="669" w:hanging="363"/>
      </w:pPr>
      <w:rPr>
        <w:rFonts w:hint="default"/>
      </w:rPr>
    </w:lvl>
    <w:lvl w:ilvl="4">
      <w:start w:val="1"/>
      <w:numFmt w:val="lowerLetter"/>
      <w:lvlText w:val="%5."/>
      <w:lvlJc w:val="left"/>
      <w:pPr>
        <w:tabs>
          <w:tab w:val="num" w:pos="289"/>
        </w:tabs>
        <w:ind w:left="652" w:hanging="363"/>
      </w:pPr>
      <w:rPr>
        <w:rFonts w:hint="default"/>
      </w:rPr>
    </w:lvl>
    <w:lvl w:ilvl="5">
      <w:start w:val="1"/>
      <w:numFmt w:val="none"/>
      <w:lvlText w:val="%6"/>
      <w:lvlJc w:val="right"/>
      <w:pPr>
        <w:tabs>
          <w:tab w:val="num" w:pos="272"/>
        </w:tabs>
        <w:ind w:left="635" w:hanging="363"/>
      </w:pPr>
      <w:rPr>
        <w:rFonts w:hint="default"/>
      </w:rPr>
    </w:lvl>
    <w:lvl w:ilvl="6">
      <w:start w:val="1"/>
      <w:numFmt w:val="none"/>
      <w:lvlText w:val="%7"/>
      <w:lvlJc w:val="left"/>
      <w:pPr>
        <w:tabs>
          <w:tab w:val="num" w:pos="255"/>
        </w:tabs>
        <w:ind w:left="618" w:hanging="363"/>
      </w:pPr>
      <w:rPr>
        <w:rFonts w:hint="default"/>
      </w:rPr>
    </w:lvl>
    <w:lvl w:ilvl="7">
      <w:start w:val="1"/>
      <w:numFmt w:val="none"/>
      <w:lvlText w:val="%8"/>
      <w:lvlJc w:val="left"/>
      <w:pPr>
        <w:tabs>
          <w:tab w:val="num" w:pos="238"/>
        </w:tabs>
        <w:ind w:left="601" w:hanging="363"/>
      </w:pPr>
      <w:rPr>
        <w:rFonts w:hint="default"/>
      </w:rPr>
    </w:lvl>
    <w:lvl w:ilvl="8">
      <w:start w:val="1"/>
      <w:numFmt w:val="none"/>
      <w:lvlText w:val="%9"/>
      <w:lvlJc w:val="right"/>
      <w:pPr>
        <w:tabs>
          <w:tab w:val="num" w:pos="221"/>
        </w:tabs>
        <w:ind w:left="584" w:hanging="363"/>
      </w:pPr>
      <w:rPr>
        <w:rFonts w:hint="default"/>
      </w:rPr>
    </w:lvl>
  </w:abstractNum>
  <w:abstractNum w:abstractNumId="25" w15:restartNumberingAfterBreak="0">
    <w:nsid w:val="4E3344F1"/>
    <w:multiLevelType w:val="multilevel"/>
    <w:tmpl w:val="DB5A87F2"/>
    <w:lvl w:ilvl="0">
      <w:start w:val="1"/>
      <w:numFmt w:val="bullet"/>
      <w:lvlText w:val=""/>
      <w:lvlJc w:val="left"/>
      <w:pPr>
        <w:tabs>
          <w:tab w:val="num" w:pos="357"/>
        </w:tabs>
        <w:ind w:left="720" w:hanging="363"/>
      </w:pPr>
      <w:rPr>
        <w:rFonts w:ascii="Symbol" w:hAnsi="Symbol" w:hint="default"/>
      </w:rPr>
    </w:lvl>
    <w:lvl w:ilvl="1">
      <w:start w:val="1"/>
      <w:numFmt w:val="lowerLetter"/>
      <w:lvlText w:val="%2."/>
      <w:lvlJc w:val="left"/>
      <w:pPr>
        <w:tabs>
          <w:tab w:val="num" w:pos="680"/>
        </w:tabs>
        <w:ind w:left="680" w:hanging="340"/>
      </w:pPr>
      <w:rPr>
        <w:rFonts w:ascii="Arial" w:hAnsi="Arial" w:hint="default"/>
        <w:sz w:val="22"/>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26" w15:restartNumberingAfterBreak="0">
    <w:nsid w:val="53191FAB"/>
    <w:multiLevelType w:val="multilevel"/>
    <w:tmpl w:val="DB5A87F2"/>
    <w:lvl w:ilvl="0">
      <w:start w:val="1"/>
      <w:numFmt w:val="bullet"/>
      <w:lvlText w:val=""/>
      <w:lvlJc w:val="left"/>
      <w:pPr>
        <w:tabs>
          <w:tab w:val="num" w:pos="357"/>
        </w:tabs>
        <w:ind w:left="720" w:hanging="363"/>
      </w:pPr>
      <w:rPr>
        <w:rFonts w:ascii="Symbol" w:hAnsi="Symbol" w:hint="default"/>
      </w:rPr>
    </w:lvl>
    <w:lvl w:ilvl="1">
      <w:start w:val="1"/>
      <w:numFmt w:val="lowerLetter"/>
      <w:lvlText w:val="%2."/>
      <w:lvlJc w:val="left"/>
      <w:pPr>
        <w:tabs>
          <w:tab w:val="num" w:pos="680"/>
        </w:tabs>
        <w:ind w:left="680" w:hanging="340"/>
      </w:pPr>
      <w:rPr>
        <w:rFonts w:ascii="Arial" w:hAnsi="Arial" w:hint="default"/>
        <w:sz w:val="22"/>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27" w15:restartNumberingAfterBreak="0">
    <w:nsid w:val="58591476"/>
    <w:multiLevelType w:val="multilevel"/>
    <w:tmpl w:val="63ECEF3E"/>
    <w:lvl w:ilvl="0">
      <w:start w:val="1"/>
      <w:numFmt w:val="bullet"/>
      <w:lvlText w:val=""/>
      <w:lvlJc w:val="left"/>
      <w:pPr>
        <w:tabs>
          <w:tab w:val="num" w:pos="357"/>
        </w:tabs>
        <w:ind w:left="720" w:hanging="363"/>
      </w:pPr>
      <w:rPr>
        <w:rFonts w:ascii="Symbol" w:hAnsi="Symbol" w:hint="default"/>
      </w:rPr>
    </w:lvl>
    <w:lvl w:ilvl="1">
      <w:start w:val="1"/>
      <w:numFmt w:val="lowerLetter"/>
      <w:lvlText w:val="%2."/>
      <w:lvlJc w:val="left"/>
      <w:pPr>
        <w:tabs>
          <w:tab w:val="num" w:pos="680"/>
        </w:tabs>
        <w:ind w:left="680" w:hanging="340"/>
      </w:pPr>
      <w:rPr>
        <w:rFonts w:ascii="Arial" w:hAnsi="Arial" w:hint="default"/>
        <w:sz w:val="22"/>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28" w15:restartNumberingAfterBreak="0">
    <w:nsid w:val="5A5650F3"/>
    <w:multiLevelType w:val="multilevel"/>
    <w:tmpl w:val="DB5A87F2"/>
    <w:lvl w:ilvl="0">
      <w:start w:val="1"/>
      <w:numFmt w:val="bullet"/>
      <w:lvlText w:val=""/>
      <w:lvlJc w:val="left"/>
      <w:pPr>
        <w:tabs>
          <w:tab w:val="num" w:pos="357"/>
        </w:tabs>
        <w:ind w:left="720" w:hanging="363"/>
      </w:pPr>
      <w:rPr>
        <w:rFonts w:ascii="Symbol" w:hAnsi="Symbol" w:hint="default"/>
      </w:rPr>
    </w:lvl>
    <w:lvl w:ilvl="1">
      <w:start w:val="1"/>
      <w:numFmt w:val="lowerLetter"/>
      <w:lvlText w:val="%2."/>
      <w:lvlJc w:val="left"/>
      <w:pPr>
        <w:tabs>
          <w:tab w:val="num" w:pos="680"/>
        </w:tabs>
        <w:ind w:left="680" w:hanging="340"/>
      </w:pPr>
      <w:rPr>
        <w:rFonts w:ascii="Arial" w:hAnsi="Arial" w:hint="default"/>
        <w:sz w:val="22"/>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29" w15:restartNumberingAfterBreak="0">
    <w:nsid w:val="634C21C3"/>
    <w:multiLevelType w:val="multilevel"/>
    <w:tmpl w:val="0964B55E"/>
    <w:lvl w:ilvl="0">
      <w:start w:val="1"/>
      <w:numFmt w:val="bullet"/>
      <w:lvlText w:val=""/>
      <w:lvlJc w:val="left"/>
      <w:pPr>
        <w:tabs>
          <w:tab w:val="num" w:pos="357"/>
        </w:tabs>
        <w:ind w:left="720" w:hanging="363"/>
      </w:pPr>
      <w:rPr>
        <w:rFonts w:ascii="Symbol" w:hAnsi="Symbol" w:hint="default"/>
      </w:rPr>
    </w:lvl>
    <w:lvl w:ilvl="1">
      <w:start w:val="1"/>
      <w:numFmt w:val="lowerLetter"/>
      <w:lvlText w:val="%2."/>
      <w:lvlJc w:val="left"/>
      <w:pPr>
        <w:tabs>
          <w:tab w:val="num" w:pos="340"/>
        </w:tabs>
        <w:ind w:left="703" w:hanging="363"/>
      </w:pPr>
      <w:rPr>
        <w:rFonts w:ascii="Arial" w:hAnsi="Arial" w:hint="default"/>
        <w:sz w:val="22"/>
      </w:rPr>
    </w:lvl>
    <w:lvl w:ilvl="2">
      <w:start w:val="1"/>
      <w:numFmt w:val="lowerRoman"/>
      <w:lvlText w:val="%3."/>
      <w:lvlJc w:val="left"/>
      <w:pPr>
        <w:tabs>
          <w:tab w:val="num" w:pos="323"/>
        </w:tabs>
        <w:ind w:left="686" w:hanging="363"/>
      </w:pPr>
      <w:rPr>
        <w:rFonts w:hint="default"/>
      </w:rPr>
    </w:lvl>
    <w:lvl w:ilvl="3">
      <w:start w:val="1"/>
      <w:numFmt w:val="decimal"/>
      <w:lvlText w:val="%4."/>
      <w:lvlJc w:val="left"/>
      <w:pPr>
        <w:tabs>
          <w:tab w:val="num" w:pos="306"/>
        </w:tabs>
        <w:ind w:left="669" w:hanging="363"/>
      </w:pPr>
      <w:rPr>
        <w:rFonts w:hint="default"/>
      </w:rPr>
    </w:lvl>
    <w:lvl w:ilvl="4">
      <w:start w:val="1"/>
      <w:numFmt w:val="lowerLetter"/>
      <w:lvlText w:val="%5."/>
      <w:lvlJc w:val="left"/>
      <w:pPr>
        <w:tabs>
          <w:tab w:val="num" w:pos="289"/>
        </w:tabs>
        <w:ind w:left="652" w:hanging="363"/>
      </w:pPr>
      <w:rPr>
        <w:rFonts w:hint="default"/>
      </w:rPr>
    </w:lvl>
    <w:lvl w:ilvl="5">
      <w:start w:val="1"/>
      <w:numFmt w:val="none"/>
      <w:lvlText w:val="%6"/>
      <w:lvlJc w:val="right"/>
      <w:pPr>
        <w:tabs>
          <w:tab w:val="num" w:pos="272"/>
        </w:tabs>
        <w:ind w:left="635" w:hanging="363"/>
      </w:pPr>
      <w:rPr>
        <w:rFonts w:hint="default"/>
      </w:rPr>
    </w:lvl>
    <w:lvl w:ilvl="6">
      <w:start w:val="1"/>
      <w:numFmt w:val="none"/>
      <w:lvlText w:val="%7"/>
      <w:lvlJc w:val="left"/>
      <w:pPr>
        <w:tabs>
          <w:tab w:val="num" w:pos="255"/>
        </w:tabs>
        <w:ind w:left="618" w:hanging="363"/>
      </w:pPr>
      <w:rPr>
        <w:rFonts w:hint="default"/>
      </w:rPr>
    </w:lvl>
    <w:lvl w:ilvl="7">
      <w:start w:val="1"/>
      <w:numFmt w:val="none"/>
      <w:lvlText w:val="%8"/>
      <w:lvlJc w:val="left"/>
      <w:pPr>
        <w:tabs>
          <w:tab w:val="num" w:pos="238"/>
        </w:tabs>
        <w:ind w:left="601" w:hanging="363"/>
      </w:pPr>
      <w:rPr>
        <w:rFonts w:hint="default"/>
      </w:rPr>
    </w:lvl>
    <w:lvl w:ilvl="8">
      <w:start w:val="1"/>
      <w:numFmt w:val="none"/>
      <w:lvlText w:val="%9"/>
      <w:lvlJc w:val="right"/>
      <w:pPr>
        <w:tabs>
          <w:tab w:val="num" w:pos="221"/>
        </w:tabs>
        <w:ind w:left="584" w:hanging="363"/>
      </w:pPr>
      <w:rPr>
        <w:rFonts w:hint="default"/>
      </w:rPr>
    </w:lvl>
  </w:abstractNum>
  <w:abstractNum w:abstractNumId="30" w15:restartNumberingAfterBreak="0">
    <w:nsid w:val="63F9255D"/>
    <w:multiLevelType w:val="hybridMultilevel"/>
    <w:tmpl w:val="1DB4E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EB5176"/>
    <w:multiLevelType w:val="hybridMultilevel"/>
    <w:tmpl w:val="38DEF7D0"/>
    <w:lvl w:ilvl="0" w:tplc="93DCF30A">
      <w:start w:val="1"/>
      <w:numFmt w:val="bullet"/>
      <w:lvlText w:val=""/>
      <w:lvlJc w:val="left"/>
      <w:pPr>
        <w:tabs>
          <w:tab w:val="num" w:pos="2199"/>
        </w:tabs>
        <w:ind w:left="2199" w:hanging="284"/>
      </w:pPr>
      <w:rPr>
        <w:rFonts w:ascii="Symbol" w:hAnsi="Symbol" w:hint="default"/>
        <w:b w:val="0"/>
        <w:i w:val="0"/>
        <w:color w:val="D31145"/>
        <w:sz w:val="22"/>
        <w:szCs w:val="22"/>
      </w:rPr>
    </w:lvl>
    <w:lvl w:ilvl="1" w:tplc="BCC445BC">
      <w:start w:val="1"/>
      <w:numFmt w:val="bullet"/>
      <w:lvlText w:val="–"/>
      <w:lvlJc w:val="left"/>
      <w:pPr>
        <w:tabs>
          <w:tab w:val="num" w:pos="1420"/>
        </w:tabs>
        <w:ind w:left="1420" w:hanging="340"/>
      </w:pPr>
      <w:rPr>
        <w:rFonts w:ascii="Arial" w:hAnsi="Arial" w:hint="default"/>
        <w:b w:val="0"/>
        <w:i w:val="0"/>
        <w:caps w:val="0"/>
        <w:smallCaps w:val="0"/>
        <w:strike w:val="0"/>
        <w:dstrike w:val="0"/>
        <w:vanish w:val="0"/>
        <w:color w:val="2E526B"/>
        <w:spacing w:val="0"/>
        <w:w w:val="100"/>
        <w:kern w:val="0"/>
        <w:position w:val="0"/>
        <w:sz w:val="22"/>
        <w:szCs w:val="22"/>
        <w:u w:val="none"/>
        <w:effect w:val="none"/>
        <w:vertAlign w:val="baseline"/>
        <w:em w:val="none"/>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0F3D0C"/>
    <w:multiLevelType w:val="hybridMultilevel"/>
    <w:tmpl w:val="7BA28D04"/>
    <w:lvl w:ilvl="0" w:tplc="21C881B0">
      <w:start w:val="1"/>
      <w:numFmt w:val="bullet"/>
      <w:lvlText w:val=""/>
      <w:lvlJc w:val="left"/>
      <w:pPr>
        <w:tabs>
          <w:tab w:val="num" w:pos="2199"/>
        </w:tabs>
        <w:ind w:left="2199" w:hanging="284"/>
      </w:pPr>
      <w:rPr>
        <w:rFonts w:ascii="Symbol" w:hAnsi="Symbol" w:hint="default"/>
        <w:b w:val="0"/>
        <w:i w:val="0"/>
        <w:color w:val="D31145"/>
        <w:sz w:val="22"/>
        <w:szCs w:val="22"/>
      </w:rPr>
    </w:lvl>
    <w:lvl w:ilvl="1" w:tplc="6886683E">
      <w:start w:val="1"/>
      <w:numFmt w:val="bullet"/>
      <w:lvlText w:val="–"/>
      <w:lvlJc w:val="left"/>
      <w:pPr>
        <w:tabs>
          <w:tab w:val="num" w:pos="1420"/>
        </w:tabs>
        <w:ind w:left="1420" w:hanging="340"/>
      </w:pPr>
      <w:rPr>
        <w:rFonts w:ascii="Arial" w:hAnsi="Arial" w:hint="default"/>
        <w:b w:val="0"/>
        <w:i w:val="0"/>
        <w:color w:val="D31145"/>
        <w:sz w:val="22"/>
        <w:szCs w:val="22"/>
      </w:rPr>
    </w:lvl>
    <w:lvl w:ilvl="2" w:tplc="0C090005">
      <w:start w:val="1"/>
      <w:numFmt w:val="bullet"/>
      <w:lvlText w:val="▪"/>
      <w:lvlJc w:val="left"/>
      <w:pPr>
        <w:tabs>
          <w:tab w:val="num" w:pos="2160"/>
        </w:tabs>
        <w:ind w:left="2160" w:hanging="360"/>
      </w:pPr>
      <w:rPr>
        <w:rFonts w:ascii="Courier New" w:hAnsi="Courier New" w:hint="default"/>
        <w:b w:val="0"/>
        <w:i w:val="0"/>
        <w:caps w:val="0"/>
        <w:smallCaps w:val="0"/>
        <w:strike w:val="0"/>
        <w:dstrike w:val="0"/>
        <w:vanish w:val="0"/>
        <w:color w:val="2E526B"/>
        <w:spacing w:val="0"/>
        <w:w w:val="10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CF562C"/>
    <w:multiLevelType w:val="multilevel"/>
    <w:tmpl w:val="57B42CA6"/>
    <w:lvl w:ilvl="0">
      <w:start w:val="1"/>
      <w:numFmt w:val="lowerLetter"/>
      <w:lvlText w:val="%1)"/>
      <w:lvlJc w:val="left"/>
      <w:pPr>
        <w:tabs>
          <w:tab w:val="num" w:pos="357"/>
        </w:tabs>
        <w:ind w:left="720" w:hanging="363"/>
      </w:pPr>
      <w:rPr>
        <w:rFonts w:hint="default"/>
      </w:rPr>
    </w:lvl>
    <w:lvl w:ilvl="1">
      <w:start w:val="1"/>
      <w:numFmt w:val="lowerLetter"/>
      <w:lvlText w:val="%2."/>
      <w:lvlJc w:val="left"/>
      <w:pPr>
        <w:tabs>
          <w:tab w:val="num" w:pos="340"/>
        </w:tabs>
        <w:ind w:left="703" w:hanging="363"/>
      </w:pPr>
      <w:rPr>
        <w:rFonts w:ascii="Arial" w:hAnsi="Arial" w:hint="default"/>
        <w:sz w:val="22"/>
      </w:rPr>
    </w:lvl>
    <w:lvl w:ilvl="2">
      <w:start w:val="1"/>
      <w:numFmt w:val="lowerRoman"/>
      <w:lvlText w:val="%3."/>
      <w:lvlJc w:val="left"/>
      <w:pPr>
        <w:tabs>
          <w:tab w:val="num" w:pos="323"/>
        </w:tabs>
        <w:ind w:left="686" w:hanging="363"/>
      </w:pPr>
      <w:rPr>
        <w:rFonts w:hint="default"/>
      </w:rPr>
    </w:lvl>
    <w:lvl w:ilvl="3">
      <w:start w:val="1"/>
      <w:numFmt w:val="decimal"/>
      <w:lvlText w:val="%4."/>
      <w:lvlJc w:val="left"/>
      <w:pPr>
        <w:tabs>
          <w:tab w:val="num" w:pos="306"/>
        </w:tabs>
        <w:ind w:left="669" w:hanging="363"/>
      </w:pPr>
      <w:rPr>
        <w:rFonts w:hint="default"/>
      </w:rPr>
    </w:lvl>
    <w:lvl w:ilvl="4">
      <w:start w:val="1"/>
      <w:numFmt w:val="lowerLetter"/>
      <w:lvlText w:val="%5."/>
      <w:lvlJc w:val="left"/>
      <w:pPr>
        <w:tabs>
          <w:tab w:val="num" w:pos="289"/>
        </w:tabs>
        <w:ind w:left="652" w:hanging="363"/>
      </w:pPr>
      <w:rPr>
        <w:rFonts w:hint="default"/>
      </w:rPr>
    </w:lvl>
    <w:lvl w:ilvl="5">
      <w:start w:val="1"/>
      <w:numFmt w:val="none"/>
      <w:lvlText w:val="%6"/>
      <w:lvlJc w:val="right"/>
      <w:pPr>
        <w:tabs>
          <w:tab w:val="num" w:pos="272"/>
        </w:tabs>
        <w:ind w:left="635" w:hanging="363"/>
      </w:pPr>
      <w:rPr>
        <w:rFonts w:hint="default"/>
      </w:rPr>
    </w:lvl>
    <w:lvl w:ilvl="6">
      <w:start w:val="1"/>
      <w:numFmt w:val="none"/>
      <w:lvlText w:val="%7"/>
      <w:lvlJc w:val="left"/>
      <w:pPr>
        <w:tabs>
          <w:tab w:val="num" w:pos="255"/>
        </w:tabs>
        <w:ind w:left="618" w:hanging="363"/>
      </w:pPr>
      <w:rPr>
        <w:rFonts w:hint="default"/>
      </w:rPr>
    </w:lvl>
    <w:lvl w:ilvl="7">
      <w:start w:val="1"/>
      <w:numFmt w:val="none"/>
      <w:lvlText w:val="%8"/>
      <w:lvlJc w:val="left"/>
      <w:pPr>
        <w:tabs>
          <w:tab w:val="num" w:pos="238"/>
        </w:tabs>
        <w:ind w:left="601" w:hanging="363"/>
      </w:pPr>
      <w:rPr>
        <w:rFonts w:hint="default"/>
      </w:rPr>
    </w:lvl>
    <w:lvl w:ilvl="8">
      <w:start w:val="1"/>
      <w:numFmt w:val="none"/>
      <w:lvlText w:val="%9"/>
      <w:lvlJc w:val="right"/>
      <w:pPr>
        <w:tabs>
          <w:tab w:val="num" w:pos="221"/>
        </w:tabs>
        <w:ind w:left="584" w:hanging="363"/>
      </w:pPr>
      <w:rPr>
        <w:rFonts w:hint="default"/>
      </w:rPr>
    </w:lvl>
  </w:abstractNum>
  <w:abstractNum w:abstractNumId="34" w15:restartNumberingAfterBreak="0">
    <w:nsid w:val="76C64FAA"/>
    <w:multiLevelType w:val="multilevel"/>
    <w:tmpl w:val="DB5A87F2"/>
    <w:lvl w:ilvl="0">
      <w:start w:val="1"/>
      <w:numFmt w:val="bullet"/>
      <w:lvlText w:val=""/>
      <w:lvlJc w:val="left"/>
      <w:pPr>
        <w:tabs>
          <w:tab w:val="num" w:pos="357"/>
        </w:tabs>
        <w:ind w:left="720" w:hanging="363"/>
      </w:pPr>
      <w:rPr>
        <w:rFonts w:ascii="Symbol" w:hAnsi="Symbol" w:hint="default"/>
      </w:rPr>
    </w:lvl>
    <w:lvl w:ilvl="1">
      <w:start w:val="1"/>
      <w:numFmt w:val="lowerLetter"/>
      <w:lvlText w:val="%2."/>
      <w:lvlJc w:val="left"/>
      <w:pPr>
        <w:tabs>
          <w:tab w:val="num" w:pos="680"/>
        </w:tabs>
        <w:ind w:left="680" w:hanging="340"/>
      </w:pPr>
      <w:rPr>
        <w:rFonts w:ascii="Arial" w:hAnsi="Arial" w:hint="default"/>
        <w:sz w:val="22"/>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num w:numId="1">
    <w:abstractNumId w:val="8"/>
  </w:num>
  <w:num w:numId="2">
    <w:abstractNumId w:val="2"/>
  </w:num>
  <w:num w:numId="3">
    <w:abstractNumId w:val="23"/>
  </w:num>
  <w:num w:numId="4">
    <w:abstractNumId w:val="32"/>
  </w:num>
  <w:num w:numId="5">
    <w:abstractNumId w:val="31"/>
  </w:num>
  <w:num w:numId="6">
    <w:abstractNumId w:val="2"/>
    <w:lvlOverride w:ilvl="0">
      <w:lvl w:ilvl="0">
        <w:start w:val="1"/>
        <w:numFmt w:val="decimal"/>
        <w:pStyle w:val="ListNumber"/>
        <w:lvlText w:val="%1."/>
        <w:lvlJc w:val="left"/>
        <w:pPr>
          <w:tabs>
            <w:tab w:val="num" w:pos="1900"/>
          </w:tabs>
          <w:ind w:left="1900" w:hanging="340"/>
        </w:pPr>
        <w:rPr>
          <w:rFonts w:hint="default"/>
        </w:rPr>
      </w:lvl>
    </w:lvlOverride>
    <w:lvlOverride w:ilvl="1">
      <w:lvl w:ilvl="1">
        <w:start w:val="1"/>
        <w:numFmt w:val="lowerLetter"/>
        <w:pStyle w:val="ListNumber2"/>
        <w:lvlText w:val="%2."/>
        <w:lvlJc w:val="left"/>
        <w:pPr>
          <w:tabs>
            <w:tab w:val="num" w:pos="680"/>
          </w:tabs>
          <w:ind w:left="680" w:hanging="340"/>
        </w:pPr>
        <w:rPr>
          <w:rFonts w:ascii="Arial" w:hAnsi="Arial" w:hint="default"/>
          <w:sz w:val="22"/>
        </w:rPr>
      </w:lvl>
    </w:lvlOverride>
    <w:lvlOverride w:ilvl="2">
      <w:lvl w:ilvl="2">
        <w:start w:val="1"/>
        <w:numFmt w:val="lowerRoman"/>
        <w:pStyle w:val="ListNumber3"/>
        <w:lvlText w:val="%3."/>
        <w:lvlJc w:val="left"/>
        <w:pPr>
          <w:tabs>
            <w:tab w:val="num" w:pos="1021"/>
          </w:tabs>
          <w:ind w:left="1021" w:hanging="341"/>
        </w:pPr>
        <w:rPr>
          <w:rFonts w:hint="default"/>
        </w:rPr>
      </w:lvl>
    </w:lvlOverride>
    <w:lvlOverride w:ilvl="3">
      <w:lvl w:ilvl="3">
        <w:start w:val="1"/>
        <w:numFmt w:val="decimal"/>
        <w:pStyle w:val="ListNumber4"/>
        <w:lvlText w:val="%4."/>
        <w:lvlJc w:val="left"/>
        <w:pPr>
          <w:tabs>
            <w:tab w:val="num" w:pos="1361"/>
          </w:tabs>
          <w:ind w:left="1361" w:hanging="340"/>
        </w:pPr>
        <w:rPr>
          <w:rFonts w:hint="default"/>
        </w:rPr>
      </w:lvl>
    </w:lvlOverride>
    <w:lvlOverride w:ilvl="4">
      <w:lvl w:ilvl="4">
        <w:start w:val="1"/>
        <w:numFmt w:val="lowerLetter"/>
        <w:pStyle w:val="ListNumber5"/>
        <w:lvlText w:val="%5."/>
        <w:lvlJc w:val="left"/>
        <w:pPr>
          <w:tabs>
            <w:tab w:val="num" w:pos="1701"/>
          </w:tabs>
          <w:ind w:left="1701" w:hanging="340"/>
        </w:pPr>
        <w:rPr>
          <w:rFonts w:hint="default"/>
        </w:rPr>
      </w:lvl>
    </w:lvlOverride>
    <w:lvlOverride w:ilvl="5">
      <w:lvl w:ilvl="5">
        <w:start w:val="1"/>
        <w:numFmt w:val="none"/>
        <w:lvlText w:val="%6"/>
        <w:lvlJc w:val="right"/>
        <w:pPr>
          <w:tabs>
            <w:tab w:val="num" w:pos="4320"/>
          </w:tabs>
          <w:ind w:left="4320" w:hanging="180"/>
        </w:pPr>
        <w:rPr>
          <w:rFonts w:hint="default"/>
        </w:rPr>
      </w:lvl>
    </w:lvlOverride>
    <w:lvlOverride w:ilvl="6">
      <w:lvl w:ilvl="6">
        <w:start w:val="1"/>
        <w:numFmt w:val="none"/>
        <w:lvlText w:val="%7"/>
        <w:lvlJc w:val="left"/>
        <w:pPr>
          <w:tabs>
            <w:tab w:val="num" w:pos="5040"/>
          </w:tabs>
          <w:ind w:left="5040" w:hanging="360"/>
        </w:pPr>
        <w:rPr>
          <w:rFonts w:hint="default"/>
        </w:rPr>
      </w:lvl>
    </w:lvlOverride>
    <w:lvlOverride w:ilvl="7">
      <w:lvl w:ilvl="7">
        <w:start w:val="1"/>
        <w:numFmt w:val="none"/>
        <w:lvlText w:val="%8"/>
        <w:lvlJc w:val="left"/>
        <w:pPr>
          <w:tabs>
            <w:tab w:val="num" w:pos="5760"/>
          </w:tabs>
          <w:ind w:left="5760" w:hanging="360"/>
        </w:pPr>
        <w:rPr>
          <w:rFonts w:hint="default"/>
        </w:rPr>
      </w:lvl>
    </w:lvlOverride>
    <w:lvlOverride w:ilvl="8">
      <w:lvl w:ilvl="8">
        <w:start w:val="1"/>
        <w:numFmt w:val="none"/>
        <w:lvlText w:val="%9"/>
        <w:lvlJc w:val="right"/>
        <w:pPr>
          <w:tabs>
            <w:tab w:val="num" w:pos="6480"/>
          </w:tabs>
          <w:ind w:left="6480" w:hanging="180"/>
        </w:pPr>
        <w:rPr>
          <w:rFonts w:hint="default"/>
        </w:rPr>
      </w:lvl>
    </w:lvlOverride>
  </w:num>
  <w:num w:numId="7">
    <w:abstractNumId w:val="6"/>
  </w:num>
  <w:num w:numId="8">
    <w:abstractNumId w:val="27"/>
  </w:num>
  <w:num w:numId="9">
    <w:abstractNumId w:val="3"/>
  </w:num>
  <w:num w:numId="10">
    <w:abstractNumId w:val="10"/>
  </w:num>
  <w:num w:numId="11">
    <w:abstractNumId w:val="7"/>
  </w:num>
  <w:num w:numId="12">
    <w:abstractNumId w:val="13"/>
  </w:num>
  <w:num w:numId="13">
    <w:abstractNumId w:val="33"/>
  </w:num>
  <w:num w:numId="14">
    <w:abstractNumId w:val="24"/>
  </w:num>
  <w:num w:numId="15">
    <w:abstractNumId w:val="4"/>
  </w:num>
  <w:num w:numId="16">
    <w:abstractNumId w:val="26"/>
  </w:num>
  <w:num w:numId="17">
    <w:abstractNumId w:val="1"/>
  </w:num>
  <w:num w:numId="18">
    <w:abstractNumId w:val="18"/>
  </w:num>
  <w:num w:numId="19">
    <w:abstractNumId w:val="16"/>
  </w:num>
  <w:num w:numId="20">
    <w:abstractNumId w:val="28"/>
  </w:num>
  <w:num w:numId="21">
    <w:abstractNumId w:val="25"/>
  </w:num>
  <w:num w:numId="22">
    <w:abstractNumId w:val="5"/>
  </w:num>
  <w:num w:numId="23">
    <w:abstractNumId w:val="19"/>
  </w:num>
  <w:num w:numId="24">
    <w:abstractNumId w:val="29"/>
  </w:num>
  <w:num w:numId="25">
    <w:abstractNumId w:val="12"/>
  </w:num>
  <w:num w:numId="26">
    <w:abstractNumId w:val="20"/>
  </w:num>
  <w:num w:numId="27">
    <w:abstractNumId w:val="17"/>
  </w:num>
  <w:num w:numId="28">
    <w:abstractNumId w:val="15"/>
  </w:num>
  <w:num w:numId="29">
    <w:abstractNumId w:val="34"/>
  </w:num>
  <w:num w:numId="30">
    <w:abstractNumId w:val="0"/>
  </w:num>
  <w:num w:numId="31">
    <w:abstractNumId w:val="9"/>
  </w:num>
  <w:num w:numId="32">
    <w:abstractNumId w:val="11"/>
  </w:num>
  <w:num w:numId="33">
    <w:abstractNumId w:val="30"/>
  </w:num>
  <w:num w:numId="34">
    <w:abstractNumId w:val="21"/>
  </w:num>
  <w:num w:numId="35">
    <w:abstractNumId w:val="22"/>
  </w:num>
  <w:num w:numId="36">
    <w:abstractNumId w:val="14"/>
  </w:num>
  <w:num w:numId="37">
    <w:abstractNumId w:val="27"/>
    <w:lvlOverride w:ilvl="0">
      <w:lvl w:ilvl="0">
        <w:start w:val="1"/>
        <w:numFmt w:val="bullet"/>
        <w:lvlText w:val=""/>
        <w:lvlJc w:val="left"/>
        <w:pPr>
          <w:tabs>
            <w:tab w:val="num" w:pos="357"/>
          </w:tabs>
          <w:ind w:left="720" w:hanging="363"/>
        </w:pPr>
        <w:rPr>
          <w:rFonts w:ascii="Symbol" w:hAnsi="Symbol" w:hint="default"/>
        </w:rPr>
      </w:lvl>
    </w:lvlOverride>
    <w:lvlOverride w:ilvl="1">
      <w:lvl w:ilvl="1">
        <w:start w:val="1"/>
        <w:numFmt w:val="lowerLetter"/>
        <w:lvlText w:val="%2."/>
        <w:lvlJc w:val="left"/>
        <w:pPr>
          <w:tabs>
            <w:tab w:val="num" w:pos="680"/>
          </w:tabs>
          <w:ind w:left="680" w:hanging="340"/>
        </w:pPr>
        <w:rPr>
          <w:rFonts w:ascii="Arial" w:hAnsi="Arial" w:hint="default"/>
          <w:sz w:val="22"/>
        </w:rPr>
      </w:lvl>
    </w:lvlOverride>
    <w:lvlOverride w:ilvl="2">
      <w:lvl w:ilvl="2">
        <w:start w:val="1"/>
        <w:numFmt w:val="lowerRoman"/>
        <w:lvlText w:val="%3."/>
        <w:lvlJc w:val="left"/>
        <w:pPr>
          <w:tabs>
            <w:tab w:val="num" w:pos="1021"/>
          </w:tabs>
          <w:ind w:left="1021" w:hanging="341"/>
        </w:pPr>
        <w:rPr>
          <w:rFonts w:hint="default"/>
        </w:rPr>
      </w:lvl>
    </w:lvlOverride>
    <w:lvlOverride w:ilvl="3">
      <w:lvl w:ilvl="3">
        <w:start w:val="1"/>
        <w:numFmt w:val="decimal"/>
        <w:lvlText w:val="%4."/>
        <w:lvlJc w:val="left"/>
        <w:pPr>
          <w:tabs>
            <w:tab w:val="num" w:pos="1361"/>
          </w:tabs>
          <w:ind w:left="1361" w:hanging="340"/>
        </w:pPr>
        <w:rPr>
          <w:rFonts w:hint="default"/>
        </w:rPr>
      </w:lvl>
    </w:lvlOverride>
    <w:lvlOverride w:ilvl="4">
      <w:lvl w:ilvl="4">
        <w:start w:val="1"/>
        <w:numFmt w:val="lowerLetter"/>
        <w:lvlText w:val="%5."/>
        <w:lvlJc w:val="left"/>
        <w:pPr>
          <w:tabs>
            <w:tab w:val="num" w:pos="1701"/>
          </w:tabs>
          <w:ind w:left="1701" w:hanging="340"/>
        </w:pPr>
        <w:rPr>
          <w:rFonts w:hint="default"/>
        </w:rPr>
      </w:lvl>
    </w:lvlOverride>
    <w:lvlOverride w:ilvl="5">
      <w:lvl w:ilvl="5">
        <w:start w:val="1"/>
        <w:numFmt w:val="none"/>
        <w:lvlText w:val="%6"/>
        <w:lvlJc w:val="right"/>
        <w:pPr>
          <w:tabs>
            <w:tab w:val="num" w:pos="4320"/>
          </w:tabs>
          <w:ind w:left="4320" w:hanging="180"/>
        </w:pPr>
        <w:rPr>
          <w:rFonts w:hint="default"/>
        </w:rPr>
      </w:lvl>
    </w:lvlOverride>
    <w:lvlOverride w:ilvl="6">
      <w:lvl w:ilvl="6">
        <w:start w:val="1"/>
        <w:numFmt w:val="none"/>
        <w:lvlText w:val="%7"/>
        <w:lvlJc w:val="left"/>
        <w:pPr>
          <w:tabs>
            <w:tab w:val="num" w:pos="5040"/>
          </w:tabs>
          <w:ind w:left="5040" w:hanging="360"/>
        </w:pPr>
        <w:rPr>
          <w:rFonts w:hint="default"/>
        </w:rPr>
      </w:lvl>
    </w:lvlOverride>
    <w:lvlOverride w:ilvl="7">
      <w:lvl w:ilvl="7">
        <w:start w:val="1"/>
        <w:numFmt w:val="none"/>
        <w:lvlText w:val="%8"/>
        <w:lvlJc w:val="left"/>
        <w:pPr>
          <w:tabs>
            <w:tab w:val="num" w:pos="5760"/>
          </w:tabs>
          <w:ind w:left="5760" w:hanging="360"/>
        </w:pPr>
        <w:rPr>
          <w:rFonts w:hint="default"/>
        </w:rPr>
      </w:lvl>
    </w:lvlOverride>
    <w:lvlOverride w:ilvl="8">
      <w:lvl w:ilvl="8">
        <w:start w:val="1"/>
        <w:numFmt w:val="none"/>
        <w:lvlText w:val="%9"/>
        <w:lvlJc w:val="right"/>
        <w:pPr>
          <w:tabs>
            <w:tab w:val="num" w:pos="6480"/>
          </w:tabs>
          <w:ind w:left="6480" w:hanging="180"/>
        </w:pPr>
        <w:rPr>
          <w:rFonts w:hint="default"/>
        </w:rPr>
      </w:lvl>
    </w:lvlOverride>
  </w:num>
  <w:num w:numId="38">
    <w:abstractNumId w:val="27"/>
    <w:lvlOverride w:ilvl="0">
      <w:lvl w:ilvl="0">
        <w:start w:val="1"/>
        <w:numFmt w:val="bullet"/>
        <w:lvlText w:val=""/>
        <w:lvlJc w:val="left"/>
        <w:pPr>
          <w:tabs>
            <w:tab w:val="num" w:pos="357"/>
          </w:tabs>
          <w:ind w:left="720" w:hanging="363"/>
        </w:pPr>
        <w:rPr>
          <w:rFonts w:ascii="Symbol" w:hAnsi="Symbol" w:hint="default"/>
        </w:rPr>
      </w:lvl>
    </w:lvlOverride>
    <w:lvlOverride w:ilvl="1">
      <w:lvl w:ilvl="1">
        <w:start w:val="1"/>
        <w:numFmt w:val="lowerLetter"/>
        <w:lvlText w:val="%2."/>
        <w:lvlJc w:val="left"/>
        <w:pPr>
          <w:tabs>
            <w:tab w:val="num" w:pos="680"/>
          </w:tabs>
          <w:ind w:left="680" w:hanging="340"/>
        </w:pPr>
        <w:rPr>
          <w:rFonts w:ascii="Arial" w:hAnsi="Arial" w:hint="default"/>
          <w:sz w:val="22"/>
        </w:rPr>
      </w:lvl>
    </w:lvlOverride>
    <w:lvlOverride w:ilvl="2">
      <w:lvl w:ilvl="2">
        <w:start w:val="1"/>
        <w:numFmt w:val="lowerRoman"/>
        <w:lvlText w:val="%3."/>
        <w:lvlJc w:val="left"/>
        <w:pPr>
          <w:tabs>
            <w:tab w:val="num" w:pos="1021"/>
          </w:tabs>
          <w:ind w:left="1021" w:hanging="341"/>
        </w:pPr>
        <w:rPr>
          <w:rFonts w:hint="default"/>
        </w:rPr>
      </w:lvl>
    </w:lvlOverride>
    <w:lvlOverride w:ilvl="3">
      <w:lvl w:ilvl="3">
        <w:start w:val="1"/>
        <w:numFmt w:val="decimal"/>
        <w:lvlText w:val="%4."/>
        <w:lvlJc w:val="left"/>
        <w:pPr>
          <w:tabs>
            <w:tab w:val="num" w:pos="1361"/>
          </w:tabs>
          <w:ind w:left="1361" w:hanging="340"/>
        </w:pPr>
        <w:rPr>
          <w:rFonts w:hint="default"/>
        </w:rPr>
      </w:lvl>
    </w:lvlOverride>
    <w:lvlOverride w:ilvl="4">
      <w:lvl w:ilvl="4">
        <w:start w:val="1"/>
        <w:numFmt w:val="lowerLetter"/>
        <w:lvlText w:val="%5."/>
        <w:lvlJc w:val="left"/>
        <w:pPr>
          <w:tabs>
            <w:tab w:val="num" w:pos="1701"/>
          </w:tabs>
          <w:ind w:left="1701" w:hanging="340"/>
        </w:pPr>
        <w:rPr>
          <w:rFonts w:hint="default"/>
        </w:rPr>
      </w:lvl>
    </w:lvlOverride>
    <w:lvlOverride w:ilvl="5">
      <w:lvl w:ilvl="5">
        <w:start w:val="1"/>
        <w:numFmt w:val="none"/>
        <w:lvlText w:val="%6"/>
        <w:lvlJc w:val="right"/>
        <w:pPr>
          <w:tabs>
            <w:tab w:val="num" w:pos="4320"/>
          </w:tabs>
          <w:ind w:left="4320" w:hanging="180"/>
        </w:pPr>
        <w:rPr>
          <w:rFonts w:hint="default"/>
        </w:rPr>
      </w:lvl>
    </w:lvlOverride>
    <w:lvlOverride w:ilvl="6">
      <w:lvl w:ilvl="6">
        <w:start w:val="1"/>
        <w:numFmt w:val="none"/>
        <w:lvlText w:val="%7"/>
        <w:lvlJc w:val="left"/>
        <w:pPr>
          <w:tabs>
            <w:tab w:val="num" w:pos="5040"/>
          </w:tabs>
          <w:ind w:left="5040" w:hanging="360"/>
        </w:pPr>
        <w:rPr>
          <w:rFonts w:hint="default"/>
        </w:rPr>
      </w:lvl>
    </w:lvlOverride>
    <w:lvlOverride w:ilvl="7">
      <w:lvl w:ilvl="7">
        <w:start w:val="1"/>
        <w:numFmt w:val="none"/>
        <w:lvlText w:val="%8"/>
        <w:lvlJc w:val="left"/>
        <w:pPr>
          <w:tabs>
            <w:tab w:val="num" w:pos="5760"/>
          </w:tabs>
          <w:ind w:left="5760" w:hanging="360"/>
        </w:pPr>
        <w:rPr>
          <w:rFonts w:hint="default"/>
        </w:rPr>
      </w:lvl>
    </w:lvlOverride>
    <w:lvlOverride w:ilvl="8">
      <w:lvl w:ilvl="8">
        <w:start w:val="1"/>
        <w:numFmt w:val="none"/>
        <w:lvlText w:val="%9"/>
        <w:lvlJc w:val="right"/>
        <w:pPr>
          <w:tabs>
            <w:tab w:val="num" w:pos="6480"/>
          </w:tabs>
          <w:ind w:left="6480" w:hanging="180"/>
        </w:pPr>
        <w:rPr>
          <w:rFonts w:hint="default"/>
        </w:rPr>
      </w:lvl>
    </w:lvlOverride>
  </w:num>
  <w:num w:numId="39">
    <w:abstractNumId w:val="27"/>
    <w:lvlOverride w:ilvl="0">
      <w:lvl w:ilvl="0">
        <w:start w:val="1"/>
        <w:numFmt w:val="bullet"/>
        <w:lvlText w:val=""/>
        <w:lvlJc w:val="left"/>
        <w:pPr>
          <w:tabs>
            <w:tab w:val="num" w:pos="357"/>
          </w:tabs>
          <w:ind w:left="720" w:hanging="363"/>
        </w:pPr>
        <w:rPr>
          <w:rFonts w:ascii="Symbol" w:hAnsi="Symbol" w:hint="default"/>
        </w:rPr>
      </w:lvl>
    </w:lvlOverride>
    <w:lvlOverride w:ilvl="1">
      <w:lvl w:ilvl="1">
        <w:start w:val="1"/>
        <w:numFmt w:val="lowerLetter"/>
        <w:lvlText w:val="%2."/>
        <w:lvlJc w:val="left"/>
        <w:pPr>
          <w:tabs>
            <w:tab w:val="num" w:pos="680"/>
          </w:tabs>
          <w:ind w:left="680" w:hanging="340"/>
        </w:pPr>
        <w:rPr>
          <w:rFonts w:ascii="Arial" w:hAnsi="Arial" w:hint="default"/>
          <w:sz w:val="22"/>
        </w:rPr>
      </w:lvl>
    </w:lvlOverride>
    <w:lvlOverride w:ilvl="2">
      <w:lvl w:ilvl="2">
        <w:start w:val="1"/>
        <w:numFmt w:val="lowerRoman"/>
        <w:lvlText w:val="%3."/>
        <w:lvlJc w:val="left"/>
        <w:pPr>
          <w:tabs>
            <w:tab w:val="num" w:pos="1021"/>
          </w:tabs>
          <w:ind w:left="1021" w:hanging="341"/>
        </w:pPr>
        <w:rPr>
          <w:rFonts w:hint="default"/>
        </w:rPr>
      </w:lvl>
    </w:lvlOverride>
    <w:lvlOverride w:ilvl="3">
      <w:lvl w:ilvl="3">
        <w:start w:val="1"/>
        <w:numFmt w:val="decimal"/>
        <w:lvlText w:val="%4."/>
        <w:lvlJc w:val="left"/>
        <w:pPr>
          <w:tabs>
            <w:tab w:val="num" w:pos="1361"/>
          </w:tabs>
          <w:ind w:left="1361" w:hanging="340"/>
        </w:pPr>
        <w:rPr>
          <w:rFonts w:hint="default"/>
        </w:rPr>
      </w:lvl>
    </w:lvlOverride>
    <w:lvlOverride w:ilvl="4">
      <w:lvl w:ilvl="4">
        <w:start w:val="1"/>
        <w:numFmt w:val="lowerLetter"/>
        <w:lvlText w:val="%5."/>
        <w:lvlJc w:val="left"/>
        <w:pPr>
          <w:tabs>
            <w:tab w:val="num" w:pos="1701"/>
          </w:tabs>
          <w:ind w:left="1701" w:hanging="340"/>
        </w:pPr>
        <w:rPr>
          <w:rFonts w:hint="default"/>
        </w:rPr>
      </w:lvl>
    </w:lvlOverride>
    <w:lvlOverride w:ilvl="5">
      <w:lvl w:ilvl="5">
        <w:start w:val="1"/>
        <w:numFmt w:val="none"/>
        <w:lvlText w:val="%6"/>
        <w:lvlJc w:val="right"/>
        <w:pPr>
          <w:tabs>
            <w:tab w:val="num" w:pos="4320"/>
          </w:tabs>
          <w:ind w:left="4320" w:hanging="180"/>
        </w:pPr>
        <w:rPr>
          <w:rFonts w:hint="default"/>
        </w:rPr>
      </w:lvl>
    </w:lvlOverride>
    <w:lvlOverride w:ilvl="6">
      <w:lvl w:ilvl="6">
        <w:start w:val="1"/>
        <w:numFmt w:val="none"/>
        <w:lvlText w:val="%7"/>
        <w:lvlJc w:val="left"/>
        <w:pPr>
          <w:tabs>
            <w:tab w:val="num" w:pos="5040"/>
          </w:tabs>
          <w:ind w:left="5040" w:hanging="360"/>
        </w:pPr>
        <w:rPr>
          <w:rFonts w:hint="default"/>
        </w:rPr>
      </w:lvl>
    </w:lvlOverride>
    <w:lvlOverride w:ilvl="7">
      <w:lvl w:ilvl="7">
        <w:start w:val="1"/>
        <w:numFmt w:val="none"/>
        <w:lvlText w:val="%8"/>
        <w:lvlJc w:val="left"/>
        <w:pPr>
          <w:tabs>
            <w:tab w:val="num" w:pos="5760"/>
          </w:tabs>
          <w:ind w:left="5760" w:hanging="360"/>
        </w:pPr>
        <w:rPr>
          <w:rFonts w:hint="default"/>
        </w:rPr>
      </w:lvl>
    </w:lvlOverride>
    <w:lvlOverride w:ilvl="8">
      <w:lvl w:ilvl="8">
        <w:start w:val="1"/>
        <w:numFmt w:val="none"/>
        <w:lvlText w:val="%9"/>
        <w:lvlJc w:val="right"/>
        <w:pPr>
          <w:tabs>
            <w:tab w:val="num" w:pos="6480"/>
          </w:tabs>
          <w:ind w:left="6480" w:hanging="180"/>
        </w:pPr>
        <w:rPr>
          <w:rFonts w:hint="default"/>
        </w:rPr>
      </w:lvl>
    </w:lvlOverride>
  </w:num>
  <w:num w:numId="40">
    <w:abstractNumId w:val="27"/>
    <w:lvlOverride w:ilvl="0">
      <w:lvl w:ilvl="0">
        <w:start w:val="1"/>
        <w:numFmt w:val="bullet"/>
        <w:lvlText w:val=""/>
        <w:lvlJc w:val="left"/>
        <w:pPr>
          <w:tabs>
            <w:tab w:val="num" w:pos="357"/>
          </w:tabs>
          <w:ind w:left="720" w:hanging="363"/>
        </w:pPr>
        <w:rPr>
          <w:rFonts w:ascii="Symbol" w:hAnsi="Symbol" w:hint="default"/>
        </w:rPr>
      </w:lvl>
    </w:lvlOverride>
    <w:lvlOverride w:ilvl="1">
      <w:lvl w:ilvl="1">
        <w:start w:val="1"/>
        <w:numFmt w:val="lowerLetter"/>
        <w:lvlText w:val="%2."/>
        <w:lvlJc w:val="left"/>
        <w:pPr>
          <w:tabs>
            <w:tab w:val="num" w:pos="680"/>
          </w:tabs>
          <w:ind w:left="680" w:hanging="340"/>
        </w:pPr>
        <w:rPr>
          <w:rFonts w:ascii="Arial" w:hAnsi="Arial" w:hint="default"/>
          <w:sz w:val="22"/>
        </w:rPr>
      </w:lvl>
    </w:lvlOverride>
    <w:lvlOverride w:ilvl="2">
      <w:lvl w:ilvl="2">
        <w:start w:val="1"/>
        <w:numFmt w:val="lowerRoman"/>
        <w:lvlText w:val="%3."/>
        <w:lvlJc w:val="left"/>
        <w:pPr>
          <w:tabs>
            <w:tab w:val="num" w:pos="1021"/>
          </w:tabs>
          <w:ind w:left="1021" w:hanging="341"/>
        </w:pPr>
        <w:rPr>
          <w:rFonts w:hint="default"/>
        </w:rPr>
      </w:lvl>
    </w:lvlOverride>
    <w:lvlOverride w:ilvl="3">
      <w:lvl w:ilvl="3">
        <w:start w:val="1"/>
        <w:numFmt w:val="decimal"/>
        <w:lvlText w:val="%4."/>
        <w:lvlJc w:val="left"/>
        <w:pPr>
          <w:tabs>
            <w:tab w:val="num" w:pos="1361"/>
          </w:tabs>
          <w:ind w:left="1361" w:hanging="340"/>
        </w:pPr>
        <w:rPr>
          <w:rFonts w:hint="default"/>
        </w:rPr>
      </w:lvl>
    </w:lvlOverride>
    <w:lvlOverride w:ilvl="4">
      <w:lvl w:ilvl="4">
        <w:start w:val="1"/>
        <w:numFmt w:val="lowerLetter"/>
        <w:lvlText w:val="%5."/>
        <w:lvlJc w:val="left"/>
        <w:pPr>
          <w:tabs>
            <w:tab w:val="num" w:pos="1701"/>
          </w:tabs>
          <w:ind w:left="1701" w:hanging="340"/>
        </w:pPr>
        <w:rPr>
          <w:rFonts w:hint="default"/>
        </w:rPr>
      </w:lvl>
    </w:lvlOverride>
    <w:lvlOverride w:ilvl="5">
      <w:lvl w:ilvl="5">
        <w:start w:val="1"/>
        <w:numFmt w:val="none"/>
        <w:lvlText w:val="%6"/>
        <w:lvlJc w:val="right"/>
        <w:pPr>
          <w:tabs>
            <w:tab w:val="num" w:pos="4320"/>
          </w:tabs>
          <w:ind w:left="4320" w:hanging="180"/>
        </w:pPr>
        <w:rPr>
          <w:rFonts w:hint="default"/>
        </w:rPr>
      </w:lvl>
    </w:lvlOverride>
    <w:lvlOverride w:ilvl="6">
      <w:lvl w:ilvl="6">
        <w:start w:val="1"/>
        <w:numFmt w:val="none"/>
        <w:lvlText w:val="%7"/>
        <w:lvlJc w:val="left"/>
        <w:pPr>
          <w:tabs>
            <w:tab w:val="num" w:pos="5040"/>
          </w:tabs>
          <w:ind w:left="5040" w:hanging="360"/>
        </w:pPr>
        <w:rPr>
          <w:rFonts w:hint="default"/>
        </w:rPr>
      </w:lvl>
    </w:lvlOverride>
    <w:lvlOverride w:ilvl="7">
      <w:lvl w:ilvl="7">
        <w:start w:val="1"/>
        <w:numFmt w:val="none"/>
        <w:lvlText w:val="%8"/>
        <w:lvlJc w:val="left"/>
        <w:pPr>
          <w:tabs>
            <w:tab w:val="num" w:pos="5760"/>
          </w:tabs>
          <w:ind w:left="5760" w:hanging="360"/>
        </w:pPr>
        <w:rPr>
          <w:rFonts w:hint="default"/>
        </w:rPr>
      </w:lvl>
    </w:lvlOverride>
    <w:lvlOverride w:ilvl="8">
      <w:lvl w:ilvl="8">
        <w:start w:val="1"/>
        <w:numFmt w:val="none"/>
        <w:lvlText w:val="%9"/>
        <w:lvlJc w:val="right"/>
        <w:pPr>
          <w:tabs>
            <w:tab w:val="num" w:pos="6480"/>
          </w:tabs>
          <w:ind w:left="6480" w:hanging="180"/>
        </w:pPr>
        <w:rPr>
          <w:rFonts w:hint="default"/>
        </w:rPr>
      </w:lvl>
    </w:lvlOverride>
  </w:num>
  <w:num w:numId="41">
    <w:abstractNumId w:val="27"/>
    <w:lvlOverride w:ilvl="0">
      <w:lvl w:ilvl="0">
        <w:start w:val="1"/>
        <w:numFmt w:val="bullet"/>
        <w:lvlText w:val=""/>
        <w:lvlJc w:val="left"/>
        <w:pPr>
          <w:tabs>
            <w:tab w:val="num" w:pos="357"/>
          </w:tabs>
          <w:ind w:left="720" w:hanging="363"/>
        </w:pPr>
        <w:rPr>
          <w:rFonts w:ascii="Symbol" w:hAnsi="Symbol" w:hint="default"/>
        </w:rPr>
      </w:lvl>
    </w:lvlOverride>
    <w:lvlOverride w:ilvl="1">
      <w:lvl w:ilvl="1">
        <w:start w:val="1"/>
        <w:numFmt w:val="lowerLetter"/>
        <w:lvlText w:val="%2."/>
        <w:lvlJc w:val="left"/>
        <w:pPr>
          <w:tabs>
            <w:tab w:val="num" w:pos="680"/>
          </w:tabs>
          <w:ind w:left="680" w:hanging="340"/>
        </w:pPr>
        <w:rPr>
          <w:rFonts w:ascii="Arial" w:hAnsi="Arial" w:hint="default"/>
          <w:sz w:val="22"/>
        </w:rPr>
      </w:lvl>
    </w:lvlOverride>
    <w:lvlOverride w:ilvl="2">
      <w:lvl w:ilvl="2">
        <w:start w:val="1"/>
        <w:numFmt w:val="lowerRoman"/>
        <w:lvlText w:val="%3."/>
        <w:lvlJc w:val="left"/>
        <w:pPr>
          <w:tabs>
            <w:tab w:val="num" w:pos="1021"/>
          </w:tabs>
          <w:ind w:left="1021" w:hanging="341"/>
        </w:pPr>
        <w:rPr>
          <w:rFonts w:hint="default"/>
        </w:rPr>
      </w:lvl>
    </w:lvlOverride>
    <w:lvlOverride w:ilvl="3">
      <w:lvl w:ilvl="3">
        <w:start w:val="1"/>
        <w:numFmt w:val="decimal"/>
        <w:lvlText w:val="%4."/>
        <w:lvlJc w:val="left"/>
        <w:pPr>
          <w:tabs>
            <w:tab w:val="num" w:pos="1361"/>
          </w:tabs>
          <w:ind w:left="1361" w:hanging="340"/>
        </w:pPr>
        <w:rPr>
          <w:rFonts w:hint="default"/>
        </w:rPr>
      </w:lvl>
    </w:lvlOverride>
    <w:lvlOverride w:ilvl="4">
      <w:lvl w:ilvl="4">
        <w:start w:val="1"/>
        <w:numFmt w:val="lowerLetter"/>
        <w:lvlText w:val="%5."/>
        <w:lvlJc w:val="left"/>
        <w:pPr>
          <w:tabs>
            <w:tab w:val="num" w:pos="1701"/>
          </w:tabs>
          <w:ind w:left="1701" w:hanging="340"/>
        </w:pPr>
        <w:rPr>
          <w:rFonts w:hint="default"/>
        </w:rPr>
      </w:lvl>
    </w:lvlOverride>
    <w:lvlOverride w:ilvl="5">
      <w:lvl w:ilvl="5">
        <w:start w:val="1"/>
        <w:numFmt w:val="none"/>
        <w:lvlText w:val="%6"/>
        <w:lvlJc w:val="right"/>
        <w:pPr>
          <w:tabs>
            <w:tab w:val="num" w:pos="4320"/>
          </w:tabs>
          <w:ind w:left="4320" w:hanging="180"/>
        </w:pPr>
        <w:rPr>
          <w:rFonts w:hint="default"/>
        </w:rPr>
      </w:lvl>
    </w:lvlOverride>
    <w:lvlOverride w:ilvl="6">
      <w:lvl w:ilvl="6">
        <w:start w:val="1"/>
        <w:numFmt w:val="none"/>
        <w:lvlText w:val="%7"/>
        <w:lvlJc w:val="left"/>
        <w:pPr>
          <w:tabs>
            <w:tab w:val="num" w:pos="5040"/>
          </w:tabs>
          <w:ind w:left="5040" w:hanging="360"/>
        </w:pPr>
        <w:rPr>
          <w:rFonts w:hint="default"/>
        </w:rPr>
      </w:lvl>
    </w:lvlOverride>
    <w:lvlOverride w:ilvl="7">
      <w:lvl w:ilvl="7">
        <w:start w:val="1"/>
        <w:numFmt w:val="none"/>
        <w:lvlText w:val="%8"/>
        <w:lvlJc w:val="left"/>
        <w:pPr>
          <w:tabs>
            <w:tab w:val="num" w:pos="5760"/>
          </w:tabs>
          <w:ind w:left="5760" w:hanging="360"/>
        </w:pPr>
        <w:rPr>
          <w:rFonts w:hint="default"/>
        </w:rPr>
      </w:lvl>
    </w:lvlOverride>
    <w:lvlOverride w:ilvl="8">
      <w:lvl w:ilvl="8">
        <w:start w:val="1"/>
        <w:numFmt w:val="none"/>
        <w:lvlText w:val="%9"/>
        <w:lvlJc w:val="right"/>
        <w:pPr>
          <w:tabs>
            <w:tab w:val="num" w:pos="6480"/>
          </w:tabs>
          <w:ind w:left="6480" w:hanging="180"/>
        </w:pPr>
        <w:rPr>
          <w:rFonts w:hint="default"/>
        </w:rPr>
      </w:lvl>
    </w:lvlOverride>
  </w:num>
  <w:num w:numId="42">
    <w:abstractNumId w:val="27"/>
    <w:lvlOverride w:ilvl="0">
      <w:lvl w:ilvl="0">
        <w:start w:val="1"/>
        <w:numFmt w:val="bullet"/>
        <w:lvlText w:val=""/>
        <w:lvlJc w:val="left"/>
        <w:pPr>
          <w:tabs>
            <w:tab w:val="num" w:pos="357"/>
          </w:tabs>
          <w:ind w:left="720" w:hanging="363"/>
        </w:pPr>
        <w:rPr>
          <w:rFonts w:ascii="Symbol" w:hAnsi="Symbol" w:hint="default"/>
        </w:rPr>
      </w:lvl>
    </w:lvlOverride>
    <w:lvlOverride w:ilvl="1">
      <w:lvl w:ilvl="1">
        <w:start w:val="1"/>
        <w:numFmt w:val="lowerLetter"/>
        <w:lvlText w:val="%2."/>
        <w:lvlJc w:val="left"/>
        <w:pPr>
          <w:tabs>
            <w:tab w:val="num" w:pos="680"/>
          </w:tabs>
          <w:ind w:left="680" w:hanging="340"/>
        </w:pPr>
        <w:rPr>
          <w:rFonts w:ascii="Arial" w:hAnsi="Arial" w:hint="default"/>
          <w:sz w:val="22"/>
        </w:rPr>
      </w:lvl>
    </w:lvlOverride>
    <w:lvlOverride w:ilvl="2">
      <w:lvl w:ilvl="2">
        <w:start w:val="1"/>
        <w:numFmt w:val="lowerRoman"/>
        <w:lvlText w:val="%3."/>
        <w:lvlJc w:val="left"/>
        <w:pPr>
          <w:tabs>
            <w:tab w:val="num" w:pos="1021"/>
          </w:tabs>
          <w:ind w:left="1021" w:hanging="341"/>
        </w:pPr>
        <w:rPr>
          <w:rFonts w:hint="default"/>
        </w:rPr>
      </w:lvl>
    </w:lvlOverride>
    <w:lvlOverride w:ilvl="3">
      <w:lvl w:ilvl="3">
        <w:start w:val="1"/>
        <w:numFmt w:val="decimal"/>
        <w:lvlText w:val="%4."/>
        <w:lvlJc w:val="left"/>
        <w:pPr>
          <w:tabs>
            <w:tab w:val="num" w:pos="1361"/>
          </w:tabs>
          <w:ind w:left="1361" w:hanging="340"/>
        </w:pPr>
        <w:rPr>
          <w:rFonts w:hint="default"/>
        </w:rPr>
      </w:lvl>
    </w:lvlOverride>
    <w:lvlOverride w:ilvl="4">
      <w:lvl w:ilvl="4">
        <w:start w:val="1"/>
        <w:numFmt w:val="lowerLetter"/>
        <w:lvlText w:val="%5."/>
        <w:lvlJc w:val="left"/>
        <w:pPr>
          <w:tabs>
            <w:tab w:val="num" w:pos="1701"/>
          </w:tabs>
          <w:ind w:left="1701" w:hanging="340"/>
        </w:pPr>
        <w:rPr>
          <w:rFonts w:hint="default"/>
        </w:rPr>
      </w:lvl>
    </w:lvlOverride>
    <w:lvlOverride w:ilvl="5">
      <w:lvl w:ilvl="5">
        <w:start w:val="1"/>
        <w:numFmt w:val="none"/>
        <w:lvlText w:val="%6"/>
        <w:lvlJc w:val="right"/>
        <w:pPr>
          <w:tabs>
            <w:tab w:val="num" w:pos="4320"/>
          </w:tabs>
          <w:ind w:left="4320" w:hanging="180"/>
        </w:pPr>
        <w:rPr>
          <w:rFonts w:hint="default"/>
        </w:rPr>
      </w:lvl>
    </w:lvlOverride>
    <w:lvlOverride w:ilvl="6">
      <w:lvl w:ilvl="6">
        <w:start w:val="1"/>
        <w:numFmt w:val="none"/>
        <w:lvlText w:val="%7"/>
        <w:lvlJc w:val="left"/>
        <w:pPr>
          <w:tabs>
            <w:tab w:val="num" w:pos="5040"/>
          </w:tabs>
          <w:ind w:left="5040" w:hanging="360"/>
        </w:pPr>
        <w:rPr>
          <w:rFonts w:hint="default"/>
        </w:rPr>
      </w:lvl>
    </w:lvlOverride>
    <w:lvlOverride w:ilvl="7">
      <w:lvl w:ilvl="7">
        <w:start w:val="1"/>
        <w:numFmt w:val="none"/>
        <w:lvlText w:val="%8"/>
        <w:lvlJc w:val="left"/>
        <w:pPr>
          <w:tabs>
            <w:tab w:val="num" w:pos="5760"/>
          </w:tabs>
          <w:ind w:left="5760" w:hanging="360"/>
        </w:pPr>
        <w:rPr>
          <w:rFonts w:hint="default"/>
        </w:rPr>
      </w:lvl>
    </w:lvlOverride>
    <w:lvlOverride w:ilvl="8">
      <w:lvl w:ilvl="8">
        <w:start w:val="1"/>
        <w:numFmt w:val="none"/>
        <w:lvlText w:val="%9"/>
        <w:lvlJc w:val="right"/>
        <w:pPr>
          <w:tabs>
            <w:tab w:val="num" w:pos="6480"/>
          </w:tabs>
          <w:ind w:left="6480" w:hanging="180"/>
        </w:pPr>
        <w:rPr>
          <w:rFonts w:hint="default"/>
        </w:rPr>
      </w:lvl>
    </w:lvlOverride>
  </w:num>
  <w:num w:numId="43">
    <w:abstractNumId w:val="27"/>
    <w:lvlOverride w:ilvl="0">
      <w:lvl w:ilvl="0">
        <w:start w:val="1"/>
        <w:numFmt w:val="bullet"/>
        <w:lvlText w:val=""/>
        <w:lvlJc w:val="left"/>
        <w:pPr>
          <w:tabs>
            <w:tab w:val="num" w:pos="357"/>
          </w:tabs>
          <w:ind w:left="720" w:hanging="363"/>
        </w:pPr>
        <w:rPr>
          <w:rFonts w:ascii="Symbol" w:hAnsi="Symbol" w:hint="default"/>
        </w:rPr>
      </w:lvl>
    </w:lvlOverride>
    <w:lvlOverride w:ilvl="1">
      <w:lvl w:ilvl="1">
        <w:start w:val="1"/>
        <w:numFmt w:val="lowerLetter"/>
        <w:lvlText w:val="%2."/>
        <w:lvlJc w:val="left"/>
        <w:pPr>
          <w:tabs>
            <w:tab w:val="num" w:pos="680"/>
          </w:tabs>
          <w:ind w:left="680" w:hanging="340"/>
        </w:pPr>
        <w:rPr>
          <w:rFonts w:ascii="Arial" w:hAnsi="Arial" w:hint="default"/>
          <w:sz w:val="22"/>
        </w:rPr>
      </w:lvl>
    </w:lvlOverride>
    <w:lvlOverride w:ilvl="2">
      <w:lvl w:ilvl="2">
        <w:start w:val="1"/>
        <w:numFmt w:val="lowerRoman"/>
        <w:lvlText w:val="%3."/>
        <w:lvlJc w:val="left"/>
        <w:pPr>
          <w:tabs>
            <w:tab w:val="num" w:pos="1021"/>
          </w:tabs>
          <w:ind w:left="1021" w:hanging="341"/>
        </w:pPr>
        <w:rPr>
          <w:rFonts w:hint="default"/>
        </w:rPr>
      </w:lvl>
    </w:lvlOverride>
    <w:lvlOverride w:ilvl="3">
      <w:lvl w:ilvl="3">
        <w:start w:val="1"/>
        <w:numFmt w:val="decimal"/>
        <w:lvlText w:val="%4."/>
        <w:lvlJc w:val="left"/>
        <w:pPr>
          <w:tabs>
            <w:tab w:val="num" w:pos="1361"/>
          </w:tabs>
          <w:ind w:left="1361" w:hanging="340"/>
        </w:pPr>
        <w:rPr>
          <w:rFonts w:hint="default"/>
        </w:rPr>
      </w:lvl>
    </w:lvlOverride>
    <w:lvlOverride w:ilvl="4">
      <w:lvl w:ilvl="4">
        <w:start w:val="1"/>
        <w:numFmt w:val="lowerLetter"/>
        <w:lvlText w:val="%5."/>
        <w:lvlJc w:val="left"/>
        <w:pPr>
          <w:tabs>
            <w:tab w:val="num" w:pos="1701"/>
          </w:tabs>
          <w:ind w:left="1701" w:hanging="340"/>
        </w:pPr>
        <w:rPr>
          <w:rFonts w:hint="default"/>
        </w:rPr>
      </w:lvl>
    </w:lvlOverride>
    <w:lvlOverride w:ilvl="5">
      <w:lvl w:ilvl="5">
        <w:start w:val="1"/>
        <w:numFmt w:val="none"/>
        <w:lvlText w:val="%6"/>
        <w:lvlJc w:val="right"/>
        <w:pPr>
          <w:tabs>
            <w:tab w:val="num" w:pos="4320"/>
          </w:tabs>
          <w:ind w:left="4320" w:hanging="180"/>
        </w:pPr>
        <w:rPr>
          <w:rFonts w:hint="default"/>
        </w:rPr>
      </w:lvl>
    </w:lvlOverride>
    <w:lvlOverride w:ilvl="6">
      <w:lvl w:ilvl="6">
        <w:start w:val="1"/>
        <w:numFmt w:val="none"/>
        <w:lvlText w:val="%7"/>
        <w:lvlJc w:val="left"/>
        <w:pPr>
          <w:tabs>
            <w:tab w:val="num" w:pos="5040"/>
          </w:tabs>
          <w:ind w:left="5040" w:hanging="360"/>
        </w:pPr>
        <w:rPr>
          <w:rFonts w:hint="default"/>
        </w:rPr>
      </w:lvl>
    </w:lvlOverride>
    <w:lvlOverride w:ilvl="7">
      <w:lvl w:ilvl="7">
        <w:start w:val="1"/>
        <w:numFmt w:val="none"/>
        <w:lvlText w:val="%8"/>
        <w:lvlJc w:val="left"/>
        <w:pPr>
          <w:tabs>
            <w:tab w:val="num" w:pos="5760"/>
          </w:tabs>
          <w:ind w:left="5760" w:hanging="360"/>
        </w:pPr>
        <w:rPr>
          <w:rFonts w:hint="default"/>
        </w:rPr>
      </w:lvl>
    </w:lvlOverride>
    <w:lvlOverride w:ilvl="8">
      <w:lvl w:ilvl="8">
        <w:start w:val="1"/>
        <w:numFmt w:val="none"/>
        <w:lvlText w:val="%9"/>
        <w:lvlJc w:val="right"/>
        <w:pPr>
          <w:tabs>
            <w:tab w:val="num" w:pos="6480"/>
          </w:tabs>
          <w:ind w:left="6480" w:hanging="180"/>
        </w:pPr>
        <w:rPr>
          <w:rFonts w:hint="default"/>
        </w:rPr>
      </w:lvl>
    </w:lvlOverride>
  </w:num>
  <w:num w:numId="44">
    <w:abstractNumId w:val="27"/>
    <w:lvlOverride w:ilvl="0">
      <w:lvl w:ilvl="0">
        <w:start w:val="1"/>
        <w:numFmt w:val="bullet"/>
        <w:lvlText w:val=""/>
        <w:lvlJc w:val="left"/>
        <w:pPr>
          <w:tabs>
            <w:tab w:val="num" w:pos="357"/>
          </w:tabs>
          <w:ind w:left="720" w:hanging="363"/>
        </w:pPr>
        <w:rPr>
          <w:rFonts w:ascii="Symbol" w:hAnsi="Symbol" w:hint="default"/>
        </w:rPr>
      </w:lvl>
    </w:lvlOverride>
    <w:lvlOverride w:ilvl="1">
      <w:lvl w:ilvl="1">
        <w:start w:val="1"/>
        <w:numFmt w:val="lowerLetter"/>
        <w:lvlText w:val="%2."/>
        <w:lvlJc w:val="left"/>
        <w:pPr>
          <w:tabs>
            <w:tab w:val="num" w:pos="680"/>
          </w:tabs>
          <w:ind w:left="680" w:hanging="340"/>
        </w:pPr>
        <w:rPr>
          <w:rFonts w:ascii="Arial" w:hAnsi="Arial" w:hint="default"/>
          <w:sz w:val="22"/>
        </w:rPr>
      </w:lvl>
    </w:lvlOverride>
    <w:lvlOverride w:ilvl="2">
      <w:lvl w:ilvl="2">
        <w:start w:val="1"/>
        <w:numFmt w:val="lowerRoman"/>
        <w:lvlText w:val="%3."/>
        <w:lvlJc w:val="left"/>
        <w:pPr>
          <w:tabs>
            <w:tab w:val="num" w:pos="1021"/>
          </w:tabs>
          <w:ind w:left="1021" w:hanging="341"/>
        </w:pPr>
        <w:rPr>
          <w:rFonts w:hint="default"/>
        </w:rPr>
      </w:lvl>
    </w:lvlOverride>
    <w:lvlOverride w:ilvl="3">
      <w:lvl w:ilvl="3">
        <w:start w:val="1"/>
        <w:numFmt w:val="decimal"/>
        <w:lvlText w:val="%4."/>
        <w:lvlJc w:val="left"/>
        <w:pPr>
          <w:tabs>
            <w:tab w:val="num" w:pos="1361"/>
          </w:tabs>
          <w:ind w:left="1361" w:hanging="340"/>
        </w:pPr>
        <w:rPr>
          <w:rFonts w:hint="default"/>
        </w:rPr>
      </w:lvl>
    </w:lvlOverride>
    <w:lvlOverride w:ilvl="4">
      <w:lvl w:ilvl="4">
        <w:start w:val="1"/>
        <w:numFmt w:val="lowerLetter"/>
        <w:lvlText w:val="%5."/>
        <w:lvlJc w:val="left"/>
        <w:pPr>
          <w:tabs>
            <w:tab w:val="num" w:pos="1701"/>
          </w:tabs>
          <w:ind w:left="1701" w:hanging="340"/>
        </w:pPr>
        <w:rPr>
          <w:rFonts w:hint="default"/>
        </w:rPr>
      </w:lvl>
    </w:lvlOverride>
    <w:lvlOverride w:ilvl="5">
      <w:lvl w:ilvl="5">
        <w:start w:val="1"/>
        <w:numFmt w:val="none"/>
        <w:lvlText w:val="%6"/>
        <w:lvlJc w:val="right"/>
        <w:pPr>
          <w:tabs>
            <w:tab w:val="num" w:pos="4320"/>
          </w:tabs>
          <w:ind w:left="4320" w:hanging="180"/>
        </w:pPr>
        <w:rPr>
          <w:rFonts w:hint="default"/>
        </w:rPr>
      </w:lvl>
    </w:lvlOverride>
    <w:lvlOverride w:ilvl="6">
      <w:lvl w:ilvl="6">
        <w:start w:val="1"/>
        <w:numFmt w:val="none"/>
        <w:lvlText w:val="%7"/>
        <w:lvlJc w:val="left"/>
        <w:pPr>
          <w:tabs>
            <w:tab w:val="num" w:pos="5040"/>
          </w:tabs>
          <w:ind w:left="5040" w:hanging="360"/>
        </w:pPr>
        <w:rPr>
          <w:rFonts w:hint="default"/>
        </w:rPr>
      </w:lvl>
    </w:lvlOverride>
    <w:lvlOverride w:ilvl="7">
      <w:lvl w:ilvl="7">
        <w:start w:val="1"/>
        <w:numFmt w:val="none"/>
        <w:lvlText w:val="%8"/>
        <w:lvlJc w:val="left"/>
        <w:pPr>
          <w:tabs>
            <w:tab w:val="num" w:pos="5760"/>
          </w:tabs>
          <w:ind w:left="5760" w:hanging="360"/>
        </w:pPr>
        <w:rPr>
          <w:rFonts w:hint="default"/>
        </w:rPr>
      </w:lvl>
    </w:lvlOverride>
    <w:lvlOverride w:ilvl="8">
      <w:lvl w:ilvl="8">
        <w:start w:val="1"/>
        <w:numFmt w:val="none"/>
        <w:lvlText w:val="%9"/>
        <w:lvlJc w:val="right"/>
        <w:pPr>
          <w:tabs>
            <w:tab w:val="num" w:pos="6480"/>
          </w:tabs>
          <w:ind w:left="6480"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154"/>
    <w:rsid w:val="000166C6"/>
    <w:rsid w:val="00076615"/>
    <w:rsid w:val="000873AF"/>
    <w:rsid w:val="000A4DC3"/>
    <w:rsid w:val="000D1C2B"/>
    <w:rsid w:val="000D285D"/>
    <w:rsid w:val="000E3125"/>
    <w:rsid w:val="000F715F"/>
    <w:rsid w:val="00126217"/>
    <w:rsid w:val="001262BC"/>
    <w:rsid w:val="00146F28"/>
    <w:rsid w:val="00191DB3"/>
    <w:rsid w:val="001D2992"/>
    <w:rsid w:val="001E363C"/>
    <w:rsid w:val="001F6C03"/>
    <w:rsid w:val="00214132"/>
    <w:rsid w:val="002245BA"/>
    <w:rsid w:val="002277F8"/>
    <w:rsid w:val="00255865"/>
    <w:rsid w:val="00281864"/>
    <w:rsid w:val="002B7DFB"/>
    <w:rsid w:val="002E1469"/>
    <w:rsid w:val="00305568"/>
    <w:rsid w:val="00312BD9"/>
    <w:rsid w:val="00376EC6"/>
    <w:rsid w:val="0039204E"/>
    <w:rsid w:val="003A19AE"/>
    <w:rsid w:val="003A7FB6"/>
    <w:rsid w:val="003B02E8"/>
    <w:rsid w:val="003B2BE5"/>
    <w:rsid w:val="003D341E"/>
    <w:rsid w:val="00417055"/>
    <w:rsid w:val="00426A2F"/>
    <w:rsid w:val="00471398"/>
    <w:rsid w:val="00473152"/>
    <w:rsid w:val="004B51CF"/>
    <w:rsid w:val="004E0921"/>
    <w:rsid w:val="005022EC"/>
    <w:rsid w:val="005507D0"/>
    <w:rsid w:val="00562E9B"/>
    <w:rsid w:val="00563543"/>
    <w:rsid w:val="00563DC3"/>
    <w:rsid w:val="005B049B"/>
    <w:rsid w:val="005B7ABC"/>
    <w:rsid w:val="005D3650"/>
    <w:rsid w:val="005D3BC2"/>
    <w:rsid w:val="005D6842"/>
    <w:rsid w:val="005E49D0"/>
    <w:rsid w:val="005F5F35"/>
    <w:rsid w:val="006208F4"/>
    <w:rsid w:val="00626A96"/>
    <w:rsid w:val="00671B25"/>
    <w:rsid w:val="006873BB"/>
    <w:rsid w:val="006A57AF"/>
    <w:rsid w:val="006A7BB9"/>
    <w:rsid w:val="006B6593"/>
    <w:rsid w:val="00722A08"/>
    <w:rsid w:val="0077112B"/>
    <w:rsid w:val="007B5A8A"/>
    <w:rsid w:val="007E0566"/>
    <w:rsid w:val="007E3B8F"/>
    <w:rsid w:val="007F45DD"/>
    <w:rsid w:val="00804088"/>
    <w:rsid w:val="0083345B"/>
    <w:rsid w:val="00835E8A"/>
    <w:rsid w:val="00854B73"/>
    <w:rsid w:val="0086104D"/>
    <w:rsid w:val="008963FA"/>
    <w:rsid w:val="008974D0"/>
    <w:rsid w:val="008A3BEA"/>
    <w:rsid w:val="008D0500"/>
    <w:rsid w:val="00920E8A"/>
    <w:rsid w:val="009969C9"/>
    <w:rsid w:val="009E42C5"/>
    <w:rsid w:val="009E57F4"/>
    <w:rsid w:val="00A66816"/>
    <w:rsid w:val="00A72B91"/>
    <w:rsid w:val="00A74DC1"/>
    <w:rsid w:val="00A76D9B"/>
    <w:rsid w:val="00AA02CC"/>
    <w:rsid w:val="00AC16A1"/>
    <w:rsid w:val="00AE0F56"/>
    <w:rsid w:val="00AE3516"/>
    <w:rsid w:val="00B1179B"/>
    <w:rsid w:val="00B349B9"/>
    <w:rsid w:val="00B742A2"/>
    <w:rsid w:val="00BD3584"/>
    <w:rsid w:val="00BE19E9"/>
    <w:rsid w:val="00BF028B"/>
    <w:rsid w:val="00C356CF"/>
    <w:rsid w:val="00C52ABB"/>
    <w:rsid w:val="00C613C3"/>
    <w:rsid w:val="00C66E94"/>
    <w:rsid w:val="00C97324"/>
    <w:rsid w:val="00CB2032"/>
    <w:rsid w:val="00CC000A"/>
    <w:rsid w:val="00CD26F9"/>
    <w:rsid w:val="00CE340B"/>
    <w:rsid w:val="00D04656"/>
    <w:rsid w:val="00D26A3B"/>
    <w:rsid w:val="00D32AC7"/>
    <w:rsid w:val="00D366BE"/>
    <w:rsid w:val="00D856BB"/>
    <w:rsid w:val="00D92E45"/>
    <w:rsid w:val="00DD2954"/>
    <w:rsid w:val="00E02A3F"/>
    <w:rsid w:val="00E55097"/>
    <w:rsid w:val="00E56F64"/>
    <w:rsid w:val="00E97154"/>
    <w:rsid w:val="00EB7920"/>
    <w:rsid w:val="00EC24B2"/>
    <w:rsid w:val="00EE57F4"/>
    <w:rsid w:val="00EE72D9"/>
    <w:rsid w:val="00F10A5F"/>
    <w:rsid w:val="00F9336F"/>
    <w:rsid w:val="00F948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708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154"/>
    <w:pPr>
      <w:spacing w:before="180" w:after="60" w:line="264" w:lineRule="auto"/>
    </w:pPr>
    <w:rPr>
      <w:rFonts w:ascii="Arial" w:hAnsi="Arial"/>
      <w:sz w:val="22"/>
      <w:szCs w:val="24"/>
      <w:lang w:eastAsia="en-US"/>
    </w:rPr>
  </w:style>
  <w:style w:type="paragraph" w:styleId="Heading1">
    <w:name w:val="heading 1"/>
    <w:basedOn w:val="Normal"/>
    <w:next w:val="Normal"/>
    <w:qFormat/>
    <w:rsid w:val="00E97154"/>
    <w:pPr>
      <w:autoSpaceDE w:val="0"/>
      <w:autoSpaceDN w:val="0"/>
      <w:adjustRightInd w:val="0"/>
      <w:spacing w:before="440" w:after="180"/>
      <w:outlineLvl w:val="0"/>
    </w:pPr>
    <w:rPr>
      <w:rFonts w:cs="Arial"/>
      <w:b/>
      <w:bCs/>
      <w:sz w:val="36"/>
      <w:szCs w:val="20"/>
      <w:lang w:eastAsia="en-AU"/>
    </w:rPr>
  </w:style>
  <w:style w:type="paragraph" w:styleId="Heading2">
    <w:name w:val="heading 2"/>
    <w:basedOn w:val="Normal"/>
    <w:next w:val="Normal"/>
    <w:link w:val="Heading2Char"/>
    <w:qFormat/>
    <w:rsid w:val="00E97154"/>
    <w:pPr>
      <w:autoSpaceDE w:val="0"/>
      <w:autoSpaceDN w:val="0"/>
      <w:adjustRightInd w:val="0"/>
      <w:spacing w:before="320" w:after="180"/>
      <w:outlineLvl w:val="1"/>
    </w:pPr>
    <w:rPr>
      <w:rFonts w:cs="Arial"/>
      <w:b/>
      <w:bCs/>
      <w:color w:val="5F5F5F"/>
      <w:sz w:val="28"/>
      <w:szCs w:val="20"/>
      <w:lang w:eastAsia="en-AU"/>
    </w:rPr>
  </w:style>
  <w:style w:type="paragraph" w:styleId="Heading3">
    <w:name w:val="heading 3"/>
    <w:basedOn w:val="Normal"/>
    <w:next w:val="Normal"/>
    <w:qFormat/>
    <w:rsid w:val="00E97154"/>
    <w:pPr>
      <w:autoSpaceDE w:val="0"/>
      <w:autoSpaceDN w:val="0"/>
      <w:adjustRightInd w:val="0"/>
      <w:spacing w:before="280" w:after="180"/>
      <w:outlineLvl w:val="2"/>
    </w:pPr>
    <w:rPr>
      <w:b/>
      <w:bCs/>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landscape">
    <w:name w:val="Header-landscape"/>
    <w:basedOn w:val="Header"/>
    <w:rsid w:val="00E97154"/>
    <w:pPr>
      <w:pBdr>
        <w:top w:val="single" w:sz="4" w:space="4" w:color="808080"/>
        <w:bottom w:val="single" w:sz="4" w:space="4" w:color="808080"/>
      </w:pBdr>
      <w:tabs>
        <w:tab w:val="clear" w:pos="9639"/>
      </w:tabs>
      <w:spacing w:after="0" w:line="240" w:lineRule="auto"/>
      <w:ind w:left="-737" w:right="-737"/>
    </w:pPr>
  </w:style>
  <w:style w:type="paragraph" w:styleId="Header">
    <w:name w:val="header"/>
    <w:basedOn w:val="Normal"/>
    <w:rsid w:val="00E97154"/>
    <w:pPr>
      <w:tabs>
        <w:tab w:val="right" w:pos="9639"/>
        <w:tab w:val="right" w:pos="14572"/>
      </w:tabs>
      <w:spacing w:before="0"/>
    </w:pPr>
    <w:rPr>
      <w:sz w:val="18"/>
    </w:rPr>
  </w:style>
  <w:style w:type="paragraph" w:styleId="Footer">
    <w:name w:val="footer"/>
    <w:basedOn w:val="Header"/>
    <w:rsid w:val="00E97154"/>
  </w:style>
  <w:style w:type="paragraph" w:styleId="ListNumber">
    <w:name w:val="List Number"/>
    <w:basedOn w:val="Normal"/>
    <w:rsid w:val="00E97154"/>
    <w:pPr>
      <w:numPr>
        <w:numId w:val="2"/>
      </w:numPr>
      <w:spacing w:before="60"/>
    </w:pPr>
  </w:style>
  <w:style w:type="numbering" w:customStyle="1" w:styleId="StyleNumbered">
    <w:name w:val="Style Numbered"/>
    <w:basedOn w:val="NoList"/>
    <w:rsid w:val="00E97154"/>
    <w:pPr>
      <w:numPr>
        <w:numId w:val="1"/>
      </w:numPr>
    </w:pPr>
  </w:style>
  <w:style w:type="paragraph" w:styleId="TOC2">
    <w:name w:val="toc 2"/>
    <w:basedOn w:val="Heading2"/>
    <w:next w:val="Normal"/>
    <w:uiPriority w:val="39"/>
    <w:rsid w:val="00E97154"/>
    <w:pPr>
      <w:tabs>
        <w:tab w:val="right" w:leader="dot" w:pos="14600"/>
      </w:tabs>
      <w:spacing w:before="120" w:after="0"/>
      <w:ind w:left="340"/>
    </w:pPr>
    <w:rPr>
      <w:sz w:val="22"/>
    </w:rPr>
  </w:style>
  <w:style w:type="paragraph" w:styleId="ListNumber2">
    <w:name w:val="List Number 2"/>
    <w:basedOn w:val="Normal"/>
    <w:rsid w:val="00E97154"/>
    <w:pPr>
      <w:numPr>
        <w:ilvl w:val="1"/>
        <w:numId w:val="2"/>
      </w:numPr>
      <w:spacing w:before="60"/>
    </w:pPr>
  </w:style>
  <w:style w:type="paragraph" w:styleId="ListBullet">
    <w:name w:val="List Bullet"/>
    <w:basedOn w:val="Normal"/>
    <w:rsid w:val="00E97154"/>
    <w:pPr>
      <w:numPr>
        <w:numId w:val="3"/>
      </w:numPr>
      <w:spacing w:before="60"/>
    </w:pPr>
  </w:style>
  <w:style w:type="paragraph" w:styleId="ListNumber3">
    <w:name w:val="List Number 3"/>
    <w:basedOn w:val="Normal"/>
    <w:rsid w:val="00E97154"/>
    <w:pPr>
      <w:numPr>
        <w:ilvl w:val="2"/>
        <w:numId w:val="2"/>
      </w:numPr>
      <w:tabs>
        <w:tab w:val="clear" w:pos="1021"/>
        <w:tab w:val="left" w:pos="340"/>
      </w:tabs>
      <w:spacing w:before="60"/>
      <w:ind w:left="340" w:hanging="340"/>
    </w:pPr>
  </w:style>
  <w:style w:type="paragraph" w:styleId="ListBullet2">
    <w:name w:val="List Bullet 2"/>
    <w:basedOn w:val="Normal"/>
    <w:rsid w:val="00E97154"/>
    <w:pPr>
      <w:numPr>
        <w:ilvl w:val="1"/>
        <w:numId w:val="3"/>
      </w:numPr>
      <w:spacing w:before="60"/>
    </w:pPr>
  </w:style>
  <w:style w:type="paragraph" w:styleId="ListBullet3">
    <w:name w:val="List Bullet 3"/>
    <w:basedOn w:val="Normal"/>
    <w:rsid w:val="00E97154"/>
    <w:pPr>
      <w:numPr>
        <w:ilvl w:val="2"/>
        <w:numId w:val="3"/>
      </w:numPr>
      <w:spacing w:before="60"/>
      <w:ind w:left="1020" w:hanging="340"/>
    </w:pPr>
  </w:style>
  <w:style w:type="paragraph" w:styleId="ListBullet4">
    <w:name w:val="List Bullet 4"/>
    <w:basedOn w:val="Normal"/>
    <w:rsid w:val="00E97154"/>
    <w:pPr>
      <w:numPr>
        <w:ilvl w:val="3"/>
        <w:numId w:val="3"/>
      </w:numPr>
      <w:spacing w:before="120"/>
    </w:pPr>
  </w:style>
  <w:style w:type="paragraph" w:styleId="ListBullet5">
    <w:name w:val="List Bullet 5"/>
    <w:basedOn w:val="Normal"/>
    <w:rsid w:val="00E97154"/>
    <w:pPr>
      <w:numPr>
        <w:ilvl w:val="4"/>
        <w:numId w:val="3"/>
      </w:numPr>
    </w:pPr>
  </w:style>
  <w:style w:type="paragraph" w:styleId="ListNumber4">
    <w:name w:val="List Number 4"/>
    <w:basedOn w:val="Normal"/>
    <w:rsid w:val="00E97154"/>
    <w:pPr>
      <w:numPr>
        <w:ilvl w:val="3"/>
        <w:numId w:val="2"/>
      </w:numPr>
      <w:spacing w:before="120"/>
    </w:pPr>
  </w:style>
  <w:style w:type="paragraph" w:styleId="ListNumber5">
    <w:name w:val="List Number 5"/>
    <w:basedOn w:val="Normal"/>
    <w:rsid w:val="00E97154"/>
    <w:pPr>
      <w:numPr>
        <w:ilvl w:val="4"/>
        <w:numId w:val="2"/>
      </w:numPr>
      <w:spacing w:before="120"/>
    </w:pPr>
  </w:style>
  <w:style w:type="character" w:styleId="Hyperlink">
    <w:name w:val="Hyperlink"/>
    <w:basedOn w:val="DefaultParagraphFont"/>
    <w:rsid w:val="00E97154"/>
    <w:rPr>
      <w:color w:val="5F5F5F"/>
      <w:u w:val="single"/>
    </w:rPr>
  </w:style>
  <w:style w:type="paragraph" w:customStyle="1" w:styleId="Footer-landscape">
    <w:name w:val="Footer-landscape"/>
    <w:basedOn w:val="Footer"/>
    <w:rsid w:val="00E97154"/>
    <w:pPr>
      <w:pBdr>
        <w:top w:val="single" w:sz="4" w:space="4" w:color="808080"/>
      </w:pBdr>
      <w:tabs>
        <w:tab w:val="clear" w:pos="9639"/>
      </w:tabs>
      <w:spacing w:after="0" w:line="240" w:lineRule="auto"/>
      <w:ind w:left="-737" w:right="-737"/>
    </w:pPr>
  </w:style>
  <w:style w:type="table" w:customStyle="1" w:styleId="Table-LowInk">
    <w:name w:val="Table - Low Ink"/>
    <w:basedOn w:val="TableNormal"/>
    <w:rsid w:val="00E97154"/>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color w:val="auto"/>
        <w:sz w:val="24"/>
      </w:rPr>
      <w:tblPr>
        <w:tblCellMar>
          <w:top w:w="0" w:type="dxa"/>
          <w:left w:w="113" w:type="dxa"/>
          <w:bottom w:w="28" w:type="dxa"/>
          <w:right w:w="113" w:type="dxa"/>
        </w:tblCellMar>
      </w:tblPr>
      <w:tcPr>
        <w:tcBorders>
          <w:top w:val="single" w:sz="4" w:space="0" w:color="C0C0C0"/>
          <w:left w:val="single" w:sz="4" w:space="0" w:color="C0C0C0"/>
          <w:bottom w:val="single" w:sz="18" w:space="0" w:color="C0C0C0"/>
          <w:right w:val="single" w:sz="4" w:space="0" w:color="C0C0C0"/>
          <w:insideH w:val="single" w:sz="18" w:space="0" w:color="C0C0C0"/>
          <w:insideV w:val="single" w:sz="4" w:space="0" w:color="C0C0C0"/>
          <w:tl2br w:val="nil"/>
          <w:tr2bl w:val="nil"/>
        </w:tcBorders>
        <w:shd w:val="clear" w:color="auto" w:fill="FFFFFF"/>
      </w:tc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Tabletext">
    <w:name w:val="Table text"/>
    <w:basedOn w:val="Normal"/>
    <w:rsid w:val="00E97154"/>
    <w:pPr>
      <w:spacing w:before="20" w:after="20"/>
    </w:pPr>
    <w:rPr>
      <w:sz w:val="20"/>
      <w:szCs w:val="20"/>
    </w:rPr>
  </w:style>
  <w:style w:type="character" w:styleId="PageNumber">
    <w:name w:val="page number"/>
    <w:basedOn w:val="DefaultParagraphFont"/>
    <w:rsid w:val="00E97154"/>
  </w:style>
  <w:style w:type="paragraph" w:customStyle="1" w:styleId="Heading30">
    <w:name w:val="Heading3"/>
    <w:basedOn w:val="Tabletext"/>
    <w:rsid w:val="00E97154"/>
    <w:pPr>
      <w:spacing w:before="0" w:after="0" w:line="240" w:lineRule="auto"/>
    </w:pPr>
    <w:rPr>
      <w:b/>
      <w:bCs/>
      <w:sz w:val="22"/>
      <w:szCs w:val="22"/>
    </w:rPr>
  </w:style>
  <w:style w:type="character" w:customStyle="1" w:styleId="Heading2Char">
    <w:name w:val="Heading 2 Char"/>
    <w:basedOn w:val="DefaultParagraphFont"/>
    <w:link w:val="Heading2"/>
    <w:rsid w:val="00E97154"/>
    <w:rPr>
      <w:rFonts w:ascii="Arial" w:hAnsi="Arial" w:cs="Arial"/>
      <w:b/>
      <w:bCs/>
      <w:color w:val="5F5F5F"/>
      <w:sz w:val="28"/>
      <w:lang w:val="en-AU" w:eastAsia="en-AU" w:bidi="ar-SA"/>
    </w:rPr>
  </w:style>
  <w:style w:type="character" w:styleId="CommentReference">
    <w:name w:val="annotation reference"/>
    <w:basedOn w:val="DefaultParagraphFont"/>
    <w:rsid w:val="00AC16A1"/>
    <w:rPr>
      <w:sz w:val="16"/>
      <w:szCs w:val="16"/>
    </w:rPr>
  </w:style>
  <w:style w:type="paragraph" w:styleId="CommentText">
    <w:name w:val="annotation text"/>
    <w:basedOn w:val="Normal"/>
    <w:link w:val="CommentTextChar"/>
    <w:rsid w:val="00AC16A1"/>
    <w:rPr>
      <w:sz w:val="20"/>
      <w:szCs w:val="20"/>
    </w:rPr>
  </w:style>
  <w:style w:type="character" w:customStyle="1" w:styleId="CommentTextChar">
    <w:name w:val="Comment Text Char"/>
    <w:basedOn w:val="DefaultParagraphFont"/>
    <w:link w:val="CommentText"/>
    <w:rsid w:val="00AC16A1"/>
    <w:rPr>
      <w:rFonts w:ascii="Arial" w:hAnsi="Arial"/>
      <w:lang w:eastAsia="en-US"/>
    </w:rPr>
  </w:style>
  <w:style w:type="paragraph" w:styleId="CommentSubject">
    <w:name w:val="annotation subject"/>
    <w:basedOn w:val="CommentText"/>
    <w:next w:val="CommentText"/>
    <w:link w:val="CommentSubjectChar"/>
    <w:rsid w:val="00AC16A1"/>
    <w:rPr>
      <w:b/>
      <w:bCs/>
    </w:rPr>
  </w:style>
  <w:style w:type="character" w:customStyle="1" w:styleId="CommentSubjectChar">
    <w:name w:val="Comment Subject Char"/>
    <w:basedOn w:val="CommentTextChar"/>
    <w:link w:val="CommentSubject"/>
    <w:rsid w:val="00AC16A1"/>
    <w:rPr>
      <w:rFonts w:ascii="Arial" w:hAnsi="Arial"/>
      <w:b/>
      <w:bCs/>
      <w:lang w:eastAsia="en-US"/>
    </w:rPr>
  </w:style>
  <w:style w:type="paragraph" w:styleId="BalloonText">
    <w:name w:val="Balloon Text"/>
    <w:basedOn w:val="Normal"/>
    <w:link w:val="BalloonTextChar"/>
    <w:rsid w:val="00AC16A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AC16A1"/>
    <w:rPr>
      <w:rFonts w:ascii="Segoe UI" w:hAnsi="Segoe UI" w:cs="Segoe UI"/>
      <w:sz w:val="18"/>
      <w:szCs w:val="18"/>
      <w:lang w:eastAsia="en-US"/>
    </w:rPr>
  </w:style>
  <w:style w:type="paragraph" w:customStyle="1" w:styleId="Bullets3rdlevel">
    <w:name w:val="Bullets 3rd level"/>
    <w:basedOn w:val="Normal"/>
    <w:rsid w:val="00191DB3"/>
    <w:pPr>
      <w:tabs>
        <w:tab w:val="left" w:pos="1134"/>
        <w:tab w:val="num" w:pos="1276"/>
      </w:tabs>
      <w:autoSpaceDE w:val="0"/>
      <w:autoSpaceDN w:val="0"/>
      <w:adjustRightInd w:val="0"/>
      <w:spacing w:before="0" w:after="0" w:line="240" w:lineRule="auto"/>
      <w:ind w:left="1134" w:hanging="360"/>
    </w:pPr>
    <w:rPr>
      <w:szCs w:val="22"/>
      <w:lang w:eastAsia="en-AU"/>
    </w:rPr>
  </w:style>
  <w:style w:type="paragraph" w:customStyle="1" w:styleId="Tablesub-heading">
    <w:name w:val="Table sub-heading"/>
    <w:basedOn w:val="Normal"/>
    <w:rsid w:val="00191DB3"/>
    <w:pPr>
      <w:spacing w:before="120" w:after="120" w:line="240" w:lineRule="auto"/>
    </w:pPr>
    <w:rPr>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69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kqueries@archives.qld.gov.au" TargetMode="External"/><Relationship Id="rId13" Type="http://schemas.openxmlformats.org/officeDocument/2006/relationships/hyperlink" Target="http://www.archives.qld.gov.au/Recordkeeping/PreserveDownloads/Documents/GuideTransferDisposalPublicRecords.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rchives.qld.gov.au/Recordkeeping/RetentionDisposal/Pages/GRDS.aspx" TargetMode="External"/><Relationship Id="rId12" Type="http://schemas.openxmlformats.org/officeDocument/2006/relationships/hyperlink" Target="http://www.archives.qld.gov.au/Recordkeeping/GRKDownloads/Documents/Pre-1950s_Public_Records.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kqueries@archives.qld.gov.a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rchives.qld.gov.au/Recordkeeping/RetentionDisposal/Pages/GRDS.aspx"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archives.qld.gov.au/Recordkeeping/RetentionDisposal/Pages/GRDS.aspx" TargetMode="External"/><Relationship Id="rId14" Type="http://schemas.openxmlformats.org/officeDocument/2006/relationships/hyperlink" Target="mailto:rkqueries@archives.qld.gov.au"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3312</Words>
  <Characters>21170</Characters>
  <Application>Microsoft Office Word</Application>
  <DocSecurity>0</DocSecurity>
  <Lines>604</Lines>
  <Paragraphs>510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23972</CharactersWithSpaces>
  <SharedDoc>false</SharedDoc>
  <HLinks>
    <vt:vector size="54" baseType="variant">
      <vt:variant>
        <vt:i4>4718713</vt:i4>
      </vt:variant>
      <vt:variant>
        <vt:i4>66</vt:i4>
      </vt:variant>
      <vt:variant>
        <vt:i4>0</vt:i4>
      </vt:variant>
      <vt:variant>
        <vt:i4>5</vt:i4>
      </vt:variant>
      <vt:variant>
        <vt:lpwstr>mailto:rkqueries@archives.qld.gov.au</vt:lpwstr>
      </vt:variant>
      <vt:variant>
        <vt:lpwstr/>
      </vt:variant>
      <vt:variant>
        <vt:i4>3735608</vt:i4>
      </vt:variant>
      <vt:variant>
        <vt:i4>63</vt:i4>
      </vt:variant>
      <vt:variant>
        <vt:i4>0</vt:i4>
      </vt:variant>
      <vt:variant>
        <vt:i4>5</vt:i4>
      </vt:variant>
      <vt:variant>
        <vt:lpwstr>http://www.archives.qld.gov.au/Recordkeeping/PreserveDownloads/Documents/GuideTransferDisposalPublicRecords.pdf</vt:lpwstr>
      </vt:variant>
      <vt:variant>
        <vt:lpwstr/>
      </vt:variant>
      <vt:variant>
        <vt:i4>6684725</vt:i4>
      </vt:variant>
      <vt:variant>
        <vt:i4>57</vt:i4>
      </vt:variant>
      <vt:variant>
        <vt:i4>0</vt:i4>
      </vt:variant>
      <vt:variant>
        <vt:i4>5</vt:i4>
      </vt:variant>
      <vt:variant>
        <vt:lpwstr>http://www.archives.qld.gov.au/Recordkeeping/GRKDownloads/Documents/Pre-1950s_Public_Records.pdf</vt:lpwstr>
      </vt:variant>
      <vt:variant>
        <vt:lpwstr/>
      </vt:variant>
      <vt:variant>
        <vt:i4>4718713</vt:i4>
      </vt:variant>
      <vt:variant>
        <vt:i4>51</vt:i4>
      </vt:variant>
      <vt:variant>
        <vt:i4>0</vt:i4>
      </vt:variant>
      <vt:variant>
        <vt:i4>5</vt:i4>
      </vt:variant>
      <vt:variant>
        <vt:lpwstr>mailto:rkqueries@archives.qld.gov.au</vt:lpwstr>
      </vt:variant>
      <vt:variant>
        <vt:lpwstr/>
      </vt:variant>
      <vt:variant>
        <vt:i4>3276832</vt:i4>
      </vt:variant>
      <vt:variant>
        <vt:i4>48</vt:i4>
      </vt:variant>
      <vt:variant>
        <vt:i4>0</vt:i4>
      </vt:variant>
      <vt:variant>
        <vt:i4>5</vt:i4>
      </vt:variant>
      <vt:variant>
        <vt:lpwstr>http://www.archives.qld.gov.au/Recordkeeping/GRKDownloads/Documents/GeneralDisposalSchedule.pdf</vt:lpwstr>
      </vt:variant>
      <vt:variant>
        <vt:lpwstr/>
      </vt:variant>
      <vt:variant>
        <vt:i4>3276832</vt:i4>
      </vt:variant>
      <vt:variant>
        <vt:i4>45</vt:i4>
      </vt:variant>
      <vt:variant>
        <vt:i4>0</vt:i4>
      </vt:variant>
      <vt:variant>
        <vt:i4>5</vt:i4>
      </vt:variant>
      <vt:variant>
        <vt:lpwstr>http://www.archives.qld.gov.au/Recordkeeping/GRKDownloads/Documents/GeneralDisposalSchedule.pdf</vt:lpwstr>
      </vt:variant>
      <vt:variant>
        <vt:lpwstr/>
      </vt:variant>
      <vt:variant>
        <vt:i4>4718713</vt:i4>
      </vt:variant>
      <vt:variant>
        <vt:i4>42</vt:i4>
      </vt:variant>
      <vt:variant>
        <vt:i4>0</vt:i4>
      </vt:variant>
      <vt:variant>
        <vt:i4>5</vt:i4>
      </vt:variant>
      <vt:variant>
        <vt:lpwstr>mailto:rkqueries@archives.qld.gov.au</vt:lpwstr>
      </vt:variant>
      <vt:variant>
        <vt:lpwstr/>
      </vt:variant>
      <vt:variant>
        <vt:i4>4718713</vt:i4>
      </vt:variant>
      <vt:variant>
        <vt:i4>33</vt:i4>
      </vt:variant>
      <vt:variant>
        <vt:i4>0</vt:i4>
      </vt:variant>
      <vt:variant>
        <vt:i4>5</vt:i4>
      </vt:variant>
      <vt:variant>
        <vt:lpwstr>mailto:rkqueries@archives.qld.gov.au</vt:lpwstr>
      </vt:variant>
      <vt:variant>
        <vt:lpwstr/>
      </vt:variant>
      <vt:variant>
        <vt:i4>3276832</vt:i4>
      </vt:variant>
      <vt:variant>
        <vt:i4>24</vt:i4>
      </vt:variant>
      <vt:variant>
        <vt:i4>0</vt:i4>
      </vt:variant>
      <vt:variant>
        <vt:i4>5</vt:i4>
      </vt:variant>
      <vt:variant>
        <vt:lpwstr>http://www.archives.qld.gov.au/Recordkeeping/GRKDownloads/Documents/GeneralDisposalSchedule.pdf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Civil and Administrative Tribunal Retention and Disposal Schedule QDAN731</dc:title>
  <dc:subject>Covers the core business records of the Queensland Civil and Administrative Tribunal (QCAT)</dc:subject>
  <dc:creator/>
  <cp:keywords>QCAT, Qld Civil and Administrative Tribunal, Retention and disposal schedule, QDAN731</cp:keywords>
  <dc:description/>
  <cp:lastModifiedBy/>
  <cp:revision>1</cp:revision>
  <dcterms:created xsi:type="dcterms:W3CDTF">2017-01-18T04:46:00Z</dcterms:created>
  <dcterms:modified xsi:type="dcterms:W3CDTF">2017-01-18T06:26:00Z</dcterms:modified>
</cp:coreProperties>
</file>