
<file path=[Content_Types].xml><?xml version="1.0" encoding="utf-8"?>
<Types xmlns="http://schemas.openxmlformats.org/package/2006/content-types">
  <Default Extension="rels" ContentType="application/vnd.openxmlformats-package.relationships+xml"/>
  <Default Extension="xml" ContentType="application/xml"/>
  <Override PartName="/baytech/document-metadata.json" ContentType="application/vnd.baytech.document-metadata+json"/>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baytech.com.au/ooxml/rels/document-metadata" Target="baytech/document-metadata.json"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20DE2" w:rsidP="78F615EA" w14:paraId="44E8F4CA" w14:textId="44BDE997">
      <w:pPr>
        <w:pStyle w:val="Heading1"/>
        <w:spacing w:line="278" w:lineRule="auto"/>
      </w:pPr>
      <w:r w:rsidRPr="5A73BAAE">
        <w:rPr>
          <w:rFonts w:ascii="Aptos Display" w:hAnsi="Aptos Display" w:eastAsia="Aptos Display" w:cs="Aptos Display"/>
          <w:sz w:val="32"/>
          <w:szCs w:val="32"/>
        </w:rPr>
        <w:t>Example</w:t>
      </w:r>
      <w:r w:rsidRPr="5A73BAAE" w:rsidR="4B63F1BD">
        <w:rPr>
          <w:rFonts w:ascii="Aptos Display" w:hAnsi="Aptos Display" w:eastAsia="Aptos Display" w:cs="Aptos Display"/>
          <w:sz w:val="32"/>
          <w:szCs w:val="32"/>
        </w:rPr>
        <w:t xml:space="preserve"> Attestation Statement </w:t>
      </w:r>
    </w:p>
    <w:p w:rsidR="00D20DE2" w:rsidP="78F615EA" w14:paraId="35640C75" w14:textId="2ACC292E">
      <w:pPr>
        <w:pStyle w:val="Heading5"/>
        <w:spacing w:line="278" w:lineRule="auto"/>
      </w:pPr>
      <w:r w:rsidRPr="3CEFABF4" w:rsidR="3CEFABF4">
        <w:rPr>
          <w:rFonts w:ascii="Aptos" w:hAnsi="Aptos" w:eastAsia="Aptos" w:cs="Aptos"/>
        </w:rPr>
        <w:t xml:space="preserve">Accountable Officer Attestation of IS18 (ISMS) information and cyber security risk  </w:t>
      </w:r>
    </w:p>
    <w:p w:rsidR="00D20DE2" w:rsidP="78F615EA" w14:paraId="3D88FF8B" w14:textId="6623D8C0">
      <w:pPr>
        <w:spacing w:line="278" w:lineRule="auto"/>
      </w:pPr>
      <w:r w:rsidRPr="78F615EA">
        <w:rPr>
          <w:rFonts w:ascii="Aptos" w:hAnsi="Aptos" w:eastAsia="Aptos" w:cs="Aptos"/>
        </w:rPr>
        <w:t>I, [</w:t>
      </w:r>
      <w:r w:rsidRPr="78F615EA">
        <w:rPr>
          <w:rFonts w:ascii="Aptos" w:hAnsi="Aptos" w:eastAsia="Aptos" w:cs="Aptos"/>
          <w:i/>
          <w:iCs/>
        </w:rPr>
        <w:t>name of Agency Head</w:t>
      </w:r>
      <w:r w:rsidRPr="78F615EA">
        <w:rPr>
          <w:rFonts w:ascii="Aptos" w:hAnsi="Aptos" w:eastAsia="Aptos" w:cs="Aptos"/>
        </w:rPr>
        <w:t>], have an informed opinion that risks to the information and information systems of [</w:t>
      </w:r>
      <w:r w:rsidRPr="78F615EA">
        <w:rPr>
          <w:rFonts w:ascii="Aptos" w:hAnsi="Aptos" w:eastAsia="Aptos" w:cs="Aptos"/>
          <w:i/>
          <w:iCs/>
        </w:rPr>
        <w:t>name of Agency</w:t>
      </w:r>
      <w:r w:rsidRPr="78F615EA">
        <w:rPr>
          <w:rFonts w:ascii="Aptos" w:hAnsi="Aptos" w:eastAsia="Aptos" w:cs="Aptos"/>
        </w:rPr>
        <w:t>] meet the agency’s risk appetite, the business risks of the organisation and the changing threat landscape. Information security risks are managed appropriately in [</w:t>
      </w:r>
      <w:r w:rsidRPr="78F615EA">
        <w:rPr>
          <w:rFonts w:ascii="Aptos" w:hAnsi="Aptos" w:eastAsia="Aptos" w:cs="Aptos"/>
          <w:i/>
          <w:iCs/>
        </w:rPr>
        <w:t>name of Agency</w:t>
      </w:r>
      <w:r w:rsidRPr="78F615EA">
        <w:rPr>
          <w:rFonts w:ascii="Aptos" w:hAnsi="Aptos" w:eastAsia="Aptos" w:cs="Aptos"/>
        </w:rPr>
        <w:t>].</w:t>
      </w:r>
    </w:p>
    <w:p w:rsidR="00D20DE2" w:rsidP="78F615EA" w14:paraId="6EEACCE6" w14:textId="723B5ACB">
      <w:pPr>
        <w:spacing w:line="278" w:lineRule="auto"/>
      </w:pPr>
      <w:r w:rsidRPr="78F615EA">
        <w:rPr>
          <w:rFonts w:ascii="Aptos" w:hAnsi="Aptos" w:eastAsia="Aptos" w:cs="Aptos"/>
        </w:rPr>
        <w:t>The scope of the [</w:t>
      </w:r>
      <w:r w:rsidRPr="78F615EA">
        <w:rPr>
          <w:rFonts w:ascii="Aptos" w:hAnsi="Aptos" w:eastAsia="Aptos" w:cs="Aptos"/>
          <w:i/>
          <w:iCs/>
        </w:rPr>
        <w:t>name of Agency</w:t>
      </w:r>
      <w:r w:rsidRPr="78F615EA">
        <w:rPr>
          <w:rFonts w:ascii="Aptos" w:hAnsi="Aptos" w:eastAsia="Aptos" w:cs="Aptos"/>
        </w:rPr>
        <w:t xml:space="preserve">] Information Security Management System (ISMS) </w:t>
      </w:r>
      <w:r w:rsidRPr="78F615EA">
        <w:rPr>
          <w:rFonts w:ascii="Aptos" w:hAnsi="Aptos" w:eastAsia="Aptos" w:cs="Aptos"/>
          <w:i/>
          <w:iCs/>
        </w:rPr>
        <w:t>does/does</w:t>
      </w:r>
      <w:r w:rsidRPr="78F615EA">
        <w:rPr>
          <w:rFonts w:ascii="Aptos" w:hAnsi="Aptos" w:eastAsia="Aptos" w:cs="Aptos"/>
        </w:rPr>
        <w:t xml:space="preserve"> not include all information and information assets owned / processed by [</w:t>
      </w:r>
      <w:r w:rsidRPr="78F615EA">
        <w:rPr>
          <w:rFonts w:ascii="Aptos" w:hAnsi="Aptos" w:eastAsia="Aptos" w:cs="Aptos"/>
          <w:i/>
          <w:iCs/>
        </w:rPr>
        <w:t>name of Agency</w:t>
      </w:r>
      <w:r w:rsidRPr="78F615EA">
        <w:rPr>
          <w:rFonts w:ascii="Aptos" w:hAnsi="Aptos" w:eastAsia="Aptos" w:cs="Aptos"/>
        </w:rPr>
        <w:t>].</w:t>
      </w:r>
    </w:p>
    <w:p w:rsidR="00D20DE2" w:rsidP="78F615EA" w14:paraId="47000350" w14:textId="159AF716">
      <w:pPr>
        <w:spacing w:line="278" w:lineRule="auto"/>
      </w:pPr>
      <w:r w:rsidRPr="638190D8">
        <w:rPr>
          <w:rFonts w:ascii="Aptos" w:hAnsi="Aptos" w:eastAsia="Aptos" w:cs="Aptos"/>
        </w:rPr>
        <w:t xml:space="preserve">I have undertaken </w:t>
      </w:r>
      <w:r w:rsidRPr="638190D8" w:rsidR="4BEAC378">
        <w:rPr>
          <w:rFonts w:ascii="Aptos" w:hAnsi="Aptos" w:eastAsia="Aptos" w:cs="Aptos"/>
        </w:rPr>
        <w:t>as</w:t>
      </w:r>
      <w:r w:rsidRPr="638190D8">
        <w:rPr>
          <w:rFonts w:ascii="Aptos" w:hAnsi="Aptos" w:eastAsia="Aptos" w:cs="Aptos"/>
        </w:rPr>
        <w:t>surance activities to inform my opinion of the Agency’s information security risk position. Where the business impact warrants, independent expertise has been received to support my opinion of the Agency’s information security risk posture.</w:t>
      </w:r>
    </w:p>
    <w:p w:rsidR="00D20DE2" w:rsidP="78F615EA" w14:paraId="6B56BAA8" w14:textId="637C1F36">
      <w:pPr>
        <w:spacing w:line="278" w:lineRule="auto"/>
      </w:pPr>
      <w:r w:rsidRPr="00521017">
        <w:rPr>
          <w:rFonts w:ascii="Aptos" w:hAnsi="Aptos" w:eastAsia="Aptos" w:cs="Aptos"/>
        </w:rPr>
        <w:t xml:space="preserve">The Agency </w:t>
      </w:r>
      <w:r w:rsidRPr="00521017">
        <w:rPr>
          <w:rFonts w:ascii="Aptos" w:hAnsi="Aptos" w:eastAsia="Aptos" w:cs="Aptos"/>
          <w:i/>
          <w:iCs/>
        </w:rPr>
        <w:t>has/does not have</w:t>
      </w:r>
      <w:r w:rsidRPr="00521017">
        <w:rPr>
          <w:rFonts w:ascii="Aptos" w:hAnsi="Aptos" w:eastAsia="Aptos" w:cs="Aptos"/>
        </w:rPr>
        <w:t xml:space="preserve"> a</w:t>
      </w:r>
      <w:r w:rsidRPr="00521017" w:rsidR="45E5D9D4">
        <w:rPr>
          <w:rFonts w:ascii="Aptos" w:hAnsi="Aptos" w:eastAsia="Aptos" w:cs="Aptos"/>
        </w:rPr>
        <w:t xml:space="preserve">n approved </w:t>
      </w:r>
      <w:r w:rsidRPr="00521017" w:rsidR="00BB3796">
        <w:rPr>
          <w:rFonts w:ascii="Aptos" w:hAnsi="Aptos" w:eastAsia="Aptos" w:cs="Aptos"/>
        </w:rPr>
        <w:t xml:space="preserve">and resourced </w:t>
      </w:r>
      <w:r w:rsidRPr="00521017">
        <w:rPr>
          <w:rFonts w:ascii="Aptos" w:hAnsi="Aptos" w:eastAsia="Aptos" w:cs="Aptos"/>
        </w:rPr>
        <w:t>operational maturity uplift plan</w:t>
      </w:r>
      <w:r w:rsidRPr="00521017" w:rsidR="00F22A07">
        <w:rPr>
          <w:rFonts w:ascii="Aptos" w:hAnsi="Aptos" w:eastAsia="Aptos" w:cs="Aptos"/>
        </w:rPr>
        <w:t>.</w:t>
      </w:r>
      <w:r w:rsidRPr="00521017">
        <w:rPr>
          <w:rFonts w:ascii="Aptos" w:hAnsi="Aptos" w:eastAsia="Aptos" w:cs="Aptos"/>
        </w:rPr>
        <w:t xml:space="preserve"> </w:t>
      </w:r>
      <w:r w:rsidRPr="00521017" w:rsidR="00F22A07">
        <w:rPr>
          <w:rFonts w:ascii="Aptos" w:hAnsi="Aptos" w:eastAsia="Aptos" w:cs="Aptos"/>
        </w:rPr>
        <w:t>If in place, the plan has/has not</w:t>
      </w:r>
      <w:r w:rsidRPr="00521017">
        <w:rPr>
          <w:rFonts w:ascii="Aptos" w:hAnsi="Aptos" w:eastAsia="Aptos" w:cs="Aptos"/>
        </w:rPr>
        <w:t xml:space="preserve"> been endorsed by the Information Security Steering Committee (or equivalent</w:t>
      </w:r>
      <w:r w:rsidRPr="00521017" w:rsidR="00521017">
        <w:rPr>
          <w:rFonts w:ascii="Aptos" w:hAnsi="Aptos" w:eastAsia="Aptos" w:cs="Aptos"/>
        </w:rPr>
        <w:t>) and</w:t>
      </w:r>
      <w:r w:rsidRPr="00521017">
        <w:rPr>
          <w:rFonts w:ascii="Aptos" w:hAnsi="Aptos" w:eastAsia="Aptos" w:cs="Aptos"/>
        </w:rPr>
        <w:t xml:space="preserve"> reflects a commitment to continuously improving the agency’s information security posture.</w:t>
      </w:r>
    </w:p>
    <w:p w:rsidR="00D20DE2" w:rsidP="78F615EA" w14:paraId="4CF7FF86" w14:textId="3C7D494F">
      <w:pPr>
        <w:spacing w:line="278" w:lineRule="auto"/>
      </w:pPr>
      <w:r w:rsidRPr="3CEFABF4" w:rsidR="3CEFABF4">
        <w:rPr>
          <w:rFonts w:ascii="Aptos" w:hAnsi="Aptos" w:eastAsia="Aptos" w:cs="Aptos"/>
        </w:rPr>
        <w:t>In addition, [</w:t>
      </w:r>
      <w:r w:rsidRPr="3CEFABF4" w:rsidR="3CEFABF4">
        <w:rPr>
          <w:rFonts w:ascii="Aptos" w:hAnsi="Aptos" w:eastAsia="Aptos" w:cs="Aptos"/>
          <w:i w:val="1"/>
          <w:iCs w:val="1"/>
        </w:rPr>
        <w:t>name of Agency</w:t>
      </w:r>
      <w:r w:rsidRPr="3CEFABF4" w:rsidR="3CEFABF4">
        <w:rPr>
          <w:rFonts w:ascii="Aptos" w:hAnsi="Aptos" w:eastAsia="Aptos" w:cs="Aptos"/>
        </w:rPr>
        <w:t xml:space="preserve">] has / has not met the requirements of the Information and cyber </w:t>
      </w:r>
      <w:r w:rsidRPr="3CEFABF4" w:rsidR="3C6198BF">
        <w:rPr>
          <w:rFonts w:ascii="Aptos" w:hAnsi="Aptos" w:eastAsia="Aptos" w:cs="Aptos"/>
        </w:rPr>
        <w:t>s</w:t>
      </w:r>
      <w:r w:rsidRPr="3CEFABF4" w:rsidR="3CEFABF4">
        <w:rPr>
          <w:rFonts w:ascii="Aptos" w:hAnsi="Aptos" w:eastAsia="Aptos" w:cs="Aptos"/>
        </w:rPr>
        <w:t xml:space="preserve">ecurity policy (IS18) during the 20xx-20xx </w:t>
      </w:r>
      <w:r w:rsidRPr="3CEFABF4" w:rsidR="3CEFABF4">
        <w:rPr>
          <w:rFonts w:ascii="Aptos" w:hAnsi="Aptos" w:eastAsia="Aptos" w:cs="Aptos"/>
        </w:rPr>
        <w:t>financial year</w:t>
      </w:r>
      <w:r w:rsidRPr="3CEFABF4" w:rsidR="3CEFABF4">
        <w:rPr>
          <w:rFonts w:ascii="Aptos" w:hAnsi="Aptos" w:eastAsia="Aptos" w:cs="Aptos"/>
        </w:rPr>
        <w:t>.</w:t>
      </w:r>
    </w:p>
    <w:p w:rsidR="00D20DE2" w:rsidP="78F615EA" w14:paraId="50749807" w14:textId="70B1D8D4">
      <w:pPr>
        <w:spacing w:line="278" w:lineRule="auto"/>
      </w:pPr>
      <w:r w:rsidRPr="78F615EA">
        <w:rPr>
          <w:rFonts w:ascii="Aptos" w:hAnsi="Aptos" w:eastAsia="Aptos" w:cs="Aptos"/>
        </w:rPr>
        <w:t>Comments by Agency Head:</w:t>
      </w:r>
    </w:p>
    <w:tbl>
      <w:tblPr>
        <w:tblStyle w:val="TableGrid"/>
        <w:tblW w:w="0" w:type="auto"/>
        <w:tblLayout w:type="fixed"/>
        <w:tblLook w:val="04A0"/>
      </w:tblPr>
      <w:tblGrid>
        <w:gridCol w:w="9316"/>
      </w:tblGrid>
      <w:tr w:rsidTr="78F615EA" w14:paraId="75B5BBA6" w14:textId="77777777">
        <w:tblPrEx>
          <w:tblW w:w="0" w:type="auto"/>
          <w:tblLayout w:type="fixed"/>
          <w:tblLook w:val="04A0"/>
        </w:tblPrEx>
        <w:trPr>
          <w:trHeight w:val="345"/>
        </w:trPr>
        <w:tc>
          <w:tcPr>
            <w:tcW w:w="9316" w:type="dxa"/>
            <w:tcBorders>
              <w:top w:val="single" w:color="501549" w:themeColor="accent5" w:themeShade="80" w:sz="8" w:space="0"/>
              <w:left w:val="single" w:color="501549" w:themeColor="accent5" w:themeShade="80" w:sz="8" w:space="0"/>
              <w:bottom w:val="single" w:color="501549" w:themeColor="accent5" w:themeShade="80" w:sz="8" w:space="0"/>
              <w:right w:val="single" w:color="501549" w:themeColor="accent5" w:themeShade="80" w:sz="8" w:space="0"/>
            </w:tcBorders>
            <w:tcMar>
              <w:left w:w="108" w:type="dxa"/>
              <w:right w:w="108" w:type="dxa"/>
            </w:tcMar>
          </w:tcPr>
          <w:p w:rsidR="78F615EA" w:rsidP="78F615EA" w14:paraId="7FC0604A" w14:textId="5B7016B2">
            <w:r w:rsidRPr="78F615EA">
              <w:rPr>
                <w:rFonts w:ascii="Aptos" w:hAnsi="Aptos" w:eastAsia="Aptos" w:cs="Aptos"/>
              </w:rPr>
              <w:t xml:space="preserve"> </w:t>
            </w:r>
          </w:p>
        </w:tc>
      </w:tr>
      <w:tr w:rsidTr="78F615EA" w14:paraId="77047991" w14:textId="77777777">
        <w:tblPrEx>
          <w:tblW w:w="0" w:type="auto"/>
          <w:tblLayout w:type="fixed"/>
          <w:tblLook w:val="04A0"/>
        </w:tblPrEx>
        <w:trPr>
          <w:trHeight w:val="345"/>
        </w:trPr>
        <w:tc>
          <w:tcPr>
            <w:tcW w:w="9316" w:type="dxa"/>
            <w:tcBorders>
              <w:top w:val="single" w:color="501549" w:themeColor="accent5" w:themeShade="80" w:sz="8" w:space="0"/>
              <w:left w:val="single" w:color="501549" w:themeColor="accent5" w:themeShade="80" w:sz="8" w:space="0"/>
              <w:bottom w:val="single" w:color="501549" w:themeColor="accent5" w:themeShade="80" w:sz="8" w:space="0"/>
              <w:right w:val="single" w:color="501549" w:themeColor="accent5" w:themeShade="80" w:sz="8" w:space="0"/>
            </w:tcBorders>
            <w:tcMar>
              <w:left w:w="108" w:type="dxa"/>
              <w:right w:w="108" w:type="dxa"/>
            </w:tcMar>
          </w:tcPr>
          <w:p w:rsidR="78F615EA" w:rsidP="78F615EA" w14:paraId="07043700" w14:textId="00BDC444">
            <w:r w:rsidRPr="78F615EA">
              <w:rPr>
                <w:rFonts w:ascii="Aptos" w:hAnsi="Aptos" w:eastAsia="Aptos" w:cs="Aptos"/>
              </w:rPr>
              <w:t xml:space="preserve"> </w:t>
            </w:r>
          </w:p>
        </w:tc>
      </w:tr>
      <w:tr w:rsidTr="78F615EA" w14:paraId="7AF9BCF0" w14:textId="77777777">
        <w:tblPrEx>
          <w:tblW w:w="0" w:type="auto"/>
          <w:tblLayout w:type="fixed"/>
          <w:tblLook w:val="04A0"/>
        </w:tblPrEx>
        <w:trPr>
          <w:trHeight w:val="345"/>
        </w:trPr>
        <w:tc>
          <w:tcPr>
            <w:tcW w:w="9316" w:type="dxa"/>
            <w:tcBorders>
              <w:top w:val="single" w:color="501549" w:themeColor="accent5" w:themeShade="80" w:sz="8" w:space="0"/>
              <w:left w:val="single" w:color="501549" w:themeColor="accent5" w:themeShade="80" w:sz="8" w:space="0"/>
              <w:bottom w:val="single" w:color="501549" w:themeColor="accent5" w:themeShade="80" w:sz="8" w:space="0"/>
              <w:right w:val="single" w:color="501549" w:themeColor="accent5" w:themeShade="80" w:sz="8" w:space="0"/>
            </w:tcBorders>
            <w:tcMar>
              <w:left w:w="108" w:type="dxa"/>
              <w:right w:w="108" w:type="dxa"/>
            </w:tcMar>
          </w:tcPr>
          <w:p w:rsidR="78F615EA" w:rsidP="78F615EA" w14:paraId="4955E380" w14:textId="5698195D">
            <w:r w:rsidRPr="78F615EA">
              <w:rPr>
                <w:rFonts w:ascii="Aptos" w:hAnsi="Aptos" w:eastAsia="Aptos" w:cs="Aptos"/>
              </w:rPr>
              <w:t xml:space="preserve"> </w:t>
            </w:r>
          </w:p>
        </w:tc>
      </w:tr>
      <w:tr w:rsidTr="78F615EA" w14:paraId="0BC5670D" w14:textId="77777777">
        <w:tblPrEx>
          <w:tblW w:w="0" w:type="auto"/>
          <w:tblLayout w:type="fixed"/>
          <w:tblLook w:val="04A0"/>
        </w:tblPrEx>
        <w:trPr>
          <w:trHeight w:val="345"/>
        </w:trPr>
        <w:tc>
          <w:tcPr>
            <w:tcW w:w="9316" w:type="dxa"/>
            <w:tcBorders>
              <w:top w:val="single" w:color="501549" w:themeColor="accent5" w:themeShade="80" w:sz="8" w:space="0"/>
              <w:left w:val="single" w:color="501549" w:themeColor="accent5" w:themeShade="80" w:sz="8" w:space="0"/>
              <w:bottom w:val="single" w:color="501549" w:themeColor="accent5" w:themeShade="80" w:sz="8" w:space="0"/>
              <w:right w:val="single" w:color="501549" w:themeColor="accent5" w:themeShade="80" w:sz="8" w:space="0"/>
            </w:tcBorders>
            <w:tcMar>
              <w:left w:w="108" w:type="dxa"/>
              <w:right w:w="108" w:type="dxa"/>
            </w:tcMar>
          </w:tcPr>
          <w:p w:rsidR="78F615EA" w:rsidP="78F615EA" w14:paraId="53CA9738" w14:textId="7C4470DA">
            <w:r w:rsidRPr="78F615EA">
              <w:rPr>
                <w:rFonts w:ascii="Aptos" w:hAnsi="Aptos" w:eastAsia="Aptos" w:cs="Aptos"/>
              </w:rPr>
              <w:t xml:space="preserve"> </w:t>
            </w:r>
          </w:p>
        </w:tc>
      </w:tr>
      <w:tr w:rsidTr="78F615EA" w14:paraId="3A32EC96" w14:textId="77777777">
        <w:tblPrEx>
          <w:tblW w:w="0" w:type="auto"/>
          <w:tblLayout w:type="fixed"/>
          <w:tblLook w:val="04A0"/>
        </w:tblPrEx>
        <w:trPr>
          <w:trHeight w:val="345"/>
        </w:trPr>
        <w:tc>
          <w:tcPr>
            <w:tcW w:w="9316" w:type="dxa"/>
            <w:tcBorders>
              <w:top w:val="single" w:color="501549" w:themeColor="accent5" w:themeShade="80" w:sz="8" w:space="0"/>
              <w:left w:val="single" w:color="501549" w:themeColor="accent5" w:themeShade="80" w:sz="8" w:space="0"/>
              <w:bottom w:val="single" w:color="501549" w:themeColor="accent5" w:themeShade="80" w:sz="8" w:space="0"/>
              <w:right w:val="single" w:color="501549" w:themeColor="accent5" w:themeShade="80" w:sz="8" w:space="0"/>
            </w:tcBorders>
            <w:tcMar>
              <w:left w:w="108" w:type="dxa"/>
              <w:right w:w="108" w:type="dxa"/>
            </w:tcMar>
          </w:tcPr>
          <w:p w:rsidR="78F615EA" w:rsidP="78F615EA" w14:paraId="4DCD02C6" w14:textId="57E022A0">
            <w:r w:rsidRPr="78F615EA">
              <w:rPr>
                <w:rFonts w:ascii="Aptos" w:hAnsi="Aptos" w:eastAsia="Aptos" w:cs="Aptos"/>
              </w:rPr>
              <w:t xml:space="preserve"> </w:t>
            </w:r>
          </w:p>
        </w:tc>
      </w:tr>
    </w:tbl>
    <w:p w:rsidR="00D20DE2" w:rsidP="78F615EA" w14:paraId="530C07C0" w14:textId="2F2BF406">
      <w:pPr>
        <w:spacing w:line="278" w:lineRule="auto"/>
      </w:pPr>
      <w:r w:rsidRPr="78F615EA">
        <w:rPr>
          <w:rFonts w:ascii="Aptos" w:hAnsi="Aptos" w:eastAsia="Aptos" w:cs="Aptos"/>
        </w:rPr>
        <w:t xml:space="preserve"> </w:t>
      </w:r>
    </w:p>
    <w:p w:rsidR="00D20DE2" w:rsidP="78F615EA" w14:paraId="3845C0BC" w14:textId="0FF22769">
      <w:pPr>
        <w:spacing w:line="278" w:lineRule="auto"/>
      </w:pPr>
      <w:r w:rsidRPr="78F615EA">
        <w:rPr>
          <w:rFonts w:ascii="Aptos" w:hAnsi="Aptos" w:eastAsia="Aptos" w:cs="Aptos"/>
        </w:rPr>
        <w:t xml:space="preserve"> </w:t>
      </w:r>
    </w:p>
    <w:p w:rsidR="00D20DE2" w:rsidP="78F615EA" w14:paraId="5A7ED2A6" w14:textId="60B60D60">
      <w:pPr>
        <w:spacing w:line="278" w:lineRule="auto"/>
      </w:pPr>
      <w:r w:rsidRPr="78F615EA">
        <w:rPr>
          <w:rFonts w:ascii="Aptos" w:hAnsi="Aptos" w:eastAsia="Aptos" w:cs="Aptos"/>
        </w:rPr>
        <w:t>(signed) _________________________                            Date: ___________________</w:t>
      </w:r>
    </w:p>
    <w:p w:rsidR="00D20DE2" w:rsidP="78F615EA" w14:paraId="24DD3AF6" w14:textId="74F507EB">
      <w:pPr>
        <w:spacing w:line="278" w:lineRule="auto"/>
      </w:pPr>
      <w:r w:rsidRPr="78F615EA">
        <w:rPr>
          <w:rFonts w:ascii="Aptos" w:hAnsi="Aptos" w:eastAsia="Aptos" w:cs="Aptos"/>
        </w:rPr>
        <w:t>[name of Agency Head]</w:t>
      </w:r>
    </w:p>
    <w:p w:rsidR="00D20DE2" w:rsidP="78F615EA" w14:paraId="3F32A2D9" w14:textId="6AEDA9C1">
      <w:pPr>
        <w:spacing w:line="278" w:lineRule="auto"/>
      </w:pPr>
      <w:r w:rsidRPr="78F615EA">
        <w:rPr>
          <w:rFonts w:ascii="Aptos" w:hAnsi="Aptos" w:eastAsia="Aptos" w:cs="Aptos"/>
        </w:rPr>
        <w:t>[name of Agency]</w:t>
      </w:r>
    </w:p>
    <w:p w:rsidR="00D20DE2" w14:paraId="2C078E63" w14:textId="54E882F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F90A2D"/>
    <w:rsid w:val="002214FD"/>
    <w:rsid w:val="00521017"/>
    <w:rsid w:val="00780793"/>
    <w:rsid w:val="008F059C"/>
    <w:rsid w:val="00AE66E6"/>
    <w:rsid w:val="00BB3796"/>
    <w:rsid w:val="00BC0036"/>
    <w:rsid w:val="00C33C95"/>
    <w:rsid w:val="00D20DE2"/>
    <w:rsid w:val="00F22A07"/>
    <w:rsid w:val="1EBEEF3B"/>
    <w:rsid w:val="25DDBC9E"/>
    <w:rsid w:val="3C6198BF"/>
    <w:rsid w:val="3CEFABF4"/>
    <w:rsid w:val="4211FDAE"/>
    <w:rsid w:val="44F20A15"/>
    <w:rsid w:val="45E5D9D4"/>
    <w:rsid w:val="4B63F1BD"/>
    <w:rsid w:val="4BEAC378"/>
    <w:rsid w:val="4DF90A2D"/>
    <w:rsid w:val="5A73BAAE"/>
    <w:rsid w:val="638190D8"/>
    <w:rsid w:val="67655CDB"/>
    <w:rsid w:val="7563EA84"/>
    <w:rsid w:val="78F615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15:docId w15:val="{F9EC9E29-E3F7-45DD-A0C3-03C3F83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customXml" Target="../customXml/item1.xml" Id="rId4" /><Relationship Type="http://schemas.openxmlformats.org/officeDocument/2006/relationships/customXml" Target="../customXml/item2.xml" Id="rId5" /><Relationship Type="http://schemas.openxmlformats.org/officeDocument/2006/relationships/customXml" Target="../customXml/item3.xml" Id="rId6" /><Relationship Type="http://schemas.openxmlformats.org/officeDocument/2006/relationships/theme" Target="theme/theme1.xml" Id="rId7" /><Relationship Type="http://schemas.openxmlformats.org/officeDocument/2006/relationships/styles" Target="styl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c4d939f-15bf-490d-8479-dfc567c1517a" xsi:nil="true"/>
    <lcf76f155ced4ddcb4097134ff3c332f xmlns="6757f4c3-7019-4166-9857-a0a444825598">
      <Terms xmlns="http://schemas.microsoft.com/office/infopath/2007/PartnerControls"/>
    </lcf76f155ced4ddcb4097134ff3c332f>
    <status xmlns="6757f4c3-7019-4166-9857-a0a444825598" xsi:nil="true"/>
    <Person xmlns="6757f4c3-7019-4166-9857-a0a444825598">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41DB754231942906428C5E4660914" ma:contentTypeVersion="24" ma:contentTypeDescription="Create a new document." ma:contentTypeScope="" ma:versionID="ba2ff1ccd089cd9f1597c1aa7f26ee7a">
  <xsd:schema xmlns:xsd="http://www.w3.org/2001/XMLSchema" xmlns:xs="http://www.w3.org/2001/XMLSchema" xmlns:p="http://schemas.microsoft.com/office/2006/metadata/properties" xmlns:ns1="http://schemas.microsoft.com/sharepoint/v3" xmlns:ns2="0c4d939f-15bf-490d-8479-dfc567c1517a" xmlns:ns3="6757f4c3-7019-4166-9857-a0a444825598" targetNamespace="http://schemas.microsoft.com/office/2006/metadata/properties" ma:root="true" ma:fieldsID="3a61a7454279e0c755f7bcd01bbfa231" ns1:_="" ns2:_="" ns3:_="">
    <xsd:import namespace="http://schemas.microsoft.com/sharepoint/v3"/>
    <xsd:import namespace="0c4d939f-15bf-490d-8479-dfc567c1517a"/>
    <xsd:import namespace="6757f4c3-7019-4166-9857-a0a4448255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status" minOccurs="0"/>
                <xsd:element ref="ns3:MediaServiceObjectDetectorVersions" minOccurs="0"/>
                <xsd:element ref="ns3:MediaServiceSearchProperties" minOccurs="0"/>
                <xsd:element ref="ns1:_ip_UnifiedCompliancePolicyProperties" minOccurs="0"/>
                <xsd:element ref="ns1:_ip_UnifiedCompliancePolicyUIAction" minOccurs="0"/>
                <xsd:element ref="ns3:Pers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d939f-15bf-490d-8479-dfc567c1517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1b975f8-14de-4c3e-a637-6dd0e222db62}" ma:internalName="TaxCatchAll" ma:showField="CatchAllData" ma:web="0c4d939f-15bf-490d-8479-dfc567c151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7f4c3-7019-4166-9857-a0a4448255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93d5bf-8b7d-4f51-9b89-bb127f6ed5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status" ma:index="21" nillable="true" ma:displayName="status " ma:format="Dropdown" ma:internalName="statu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EC54A-2CFD-49B8-AAAD-347C5D63F918}">
  <ds:schemaRefs>
    <ds:schemaRef ds:uri="http://schemas.microsoft.com/office/2006/metadata/properties"/>
    <ds:schemaRef ds:uri="http://schemas.microsoft.com/office/infopath/2007/PartnerControls"/>
    <ds:schemaRef ds:uri="http://schemas.microsoft.com/sharepoint/v3"/>
    <ds:schemaRef ds:uri="0c4d939f-15bf-490d-8479-dfc567c1517a"/>
    <ds:schemaRef ds:uri="6757f4c3-7019-4166-9857-a0a444825598"/>
  </ds:schemaRefs>
</ds:datastoreItem>
</file>

<file path=customXml/itemProps2.xml><?xml version="1.0" encoding="utf-8"?>
<ds:datastoreItem xmlns:ds="http://schemas.openxmlformats.org/officeDocument/2006/customXml" ds:itemID="{0125FCF6-BB15-48F3-8CC0-A97D028956F8}"/>
</file>

<file path=customXml/itemProps3.xml><?xml version="1.0" encoding="utf-8"?>
<ds:datastoreItem xmlns:ds="http://schemas.openxmlformats.org/officeDocument/2006/customXml" ds:itemID="{7534C11E-FC83-46F0-8597-0E44809E4F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Helmore</dc:creator>
  <cp:lastModifiedBy>Kaushani Weeratunga</cp:lastModifiedBy>
  <cp:revision>10</cp:revision>
  <dcterms:created xsi:type="dcterms:W3CDTF">2024-07-15T22:46:00Z</dcterms:created>
  <dcterms:modified xsi:type="dcterms:W3CDTF">2025-05-28T03:51:45Z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0x0101009D641DB754231942906428C5E4660914</vt:lpwstr>
  </property>
  <property fmtid="{D5CDD505-2E9C-101B-9397-08002B2CF9AE}" pid="3" name="MediaServiceImageTags">
    <vt:lpwstr/>
  </property>
  <property fmtid="{D5CDD505-2E9C-101B-9397-08002B2CF9AE}" pid="4" name="MSIP_Label_c16b8a43-f220-4893-b2f2-7b4fb2dfddfd_ActionId">
    <vt:lpwstr>d0c3d9cf-3607-4dd7-b17b-7b2cf5eb2264</vt:lpwstr>
  </property>
  <property fmtid="{D5CDD505-2E9C-101B-9397-08002B2CF9AE}" pid="5" name="MSIP_Label_c16b8a43-f220-4893-b2f2-7b4fb2dfddfd_ContentBits">
    <vt:lpwstr>0</vt:lpwstr>
  </property>
  <property fmtid="{D5CDD505-2E9C-101B-9397-08002B2CF9AE}" pid="6" name="MSIP_Label_c16b8a43-f220-4893-b2f2-7b4fb2dfddfd_Enabled">
    <vt:lpwstr>true</vt:lpwstr>
  </property>
  <property fmtid="{D5CDD505-2E9C-101B-9397-08002B2CF9AE}" pid="7" name="MSIP_Label_c16b8a43-f220-4893-b2f2-7b4fb2dfddfd_Method">
    <vt:lpwstr>Standard</vt:lpwstr>
  </property>
  <property fmtid="{D5CDD505-2E9C-101B-9397-08002B2CF9AE}" pid="8" name="MSIP_Label_c16b8a43-f220-4893-b2f2-7b4fb2dfddfd_Name">
    <vt:lpwstr>e047f491-9e21-47e3-8cb5-c92f1523f35b</vt:lpwstr>
  </property>
  <property fmtid="{D5CDD505-2E9C-101B-9397-08002B2CF9AE}" pid="9" name="MSIP_Label_c16b8a43-f220-4893-b2f2-7b4fb2dfddfd_SetDate">
    <vt:lpwstr>2024-07-15T22:46:50Z</vt:lpwstr>
  </property>
  <property fmtid="{D5CDD505-2E9C-101B-9397-08002B2CF9AE}" pid="10" name="MSIP_Label_c16b8a43-f220-4893-b2f2-7b4fb2dfddfd_SiteId">
    <vt:lpwstr>c21e56dd-1eae-4b2b-ba5c-bfff43bd45ea</vt:lpwstr>
  </property>
</Properties>
</file>