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2DDD2" w14:textId="77777777" w:rsidR="000E0467" w:rsidRDefault="000E0467" w:rsidP="000E0467">
      <w:pPr>
        <w:pStyle w:val="UltraHeading"/>
        <w:ind w:left="709"/>
      </w:pPr>
    </w:p>
    <w:p w14:paraId="1201941A" w14:textId="77777777" w:rsidR="000E0467" w:rsidRDefault="000E0467" w:rsidP="000E0467">
      <w:pPr>
        <w:pStyle w:val="UltraHeading"/>
        <w:ind w:left="709"/>
      </w:pPr>
    </w:p>
    <w:p w14:paraId="224284A6" w14:textId="77777777" w:rsidR="000E0467" w:rsidRDefault="000E0467" w:rsidP="000E0467">
      <w:pPr>
        <w:pStyle w:val="UltraHeading"/>
        <w:ind w:left="709"/>
      </w:pPr>
    </w:p>
    <w:p w14:paraId="4D2A616C" w14:textId="77777777" w:rsidR="0025085D" w:rsidRPr="00D73AB8" w:rsidRDefault="0025085D" w:rsidP="0025085D">
      <w:pPr>
        <w:pStyle w:val="UltraHeading"/>
        <w:ind w:firstLine="720"/>
      </w:pPr>
      <w:r>
        <w:t>Contract disclosure guide</w:t>
      </w:r>
    </w:p>
    <w:p w14:paraId="6DE85069" w14:textId="77777777" w:rsidR="0025085D" w:rsidRDefault="0025085D" w:rsidP="00F905BC">
      <w:pPr>
        <w:ind w:left="851"/>
        <w:rPr>
          <w:rStyle w:val="SubtleEmphasis"/>
        </w:rPr>
      </w:pPr>
    </w:p>
    <w:p w14:paraId="0461C6BB" w14:textId="77777777" w:rsidR="0025085D" w:rsidRDefault="0025085D" w:rsidP="00F905BC">
      <w:pPr>
        <w:ind w:left="851"/>
        <w:rPr>
          <w:rStyle w:val="SubtleEmphasis"/>
        </w:rPr>
      </w:pPr>
    </w:p>
    <w:p w14:paraId="3611ADB4" w14:textId="77777777" w:rsidR="0025085D" w:rsidRDefault="0025085D" w:rsidP="00F905BC">
      <w:pPr>
        <w:ind w:left="851"/>
        <w:rPr>
          <w:rStyle w:val="SubtleEmphasis"/>
        </w:rPr>
      </w:pPr>
    </w:p>
    <w:p w14:paraId="5F41ADF4" w14:textId="77777777" w:rsidR="0025085D" w:rsidRDefault="0025085D" w:rsidP="009C4A6F">
      <w:pPr>
        <w:rPr>
          <w:rStyle w:val="SubtleEmphasis"/>
        </w:rPr>
      </w:pPr>
    </w:p>
    <w:p w14:paraId="75BB4221" w14:textId="77777777" w:rsidR="0025085D" w:rsidRDefault="0025085D">
      <w:pPr>
        <w:spacing w:line="259" w:lineRule="auto"/>
        <w:rPr>
          <w:rStyle w:val="SubtleEmphasis"/>
        </w:rPr>
      </w:pPr>
      <w:r>
        <w:rPr>
          <w:rStyle w:val="SubtleEmphasis"/>
        </w:rPr>
        <w:br w:type="page"/>
      </w:r>
    </w:p>
    <w:p w14:paraId="2BE4D9AF" w14:textId="77777777" w:rsidR="0025085D" w:rsidRDefault="0025085D" w:rsidP="009144A1">
      <w:pPr>
        <w:rPr>
          <w:b/>
          <w:i/>
          <w:sz w:val="18"/>
        </w:rPr>
      </w:pPr>
    </w:p>
    <w:p w14:paraId="057FE56C" w14:textId="77777777" w:rsidR="0025085D" w:rsidRDefault="0025085D" w:rsidP="009144A1">
      <w:pPr>
        <w:rPr>
          <w:b/>
          <w:i/>
          <w:sz w:val="18"/>
        </w:rPr>
      </w:pPr>
    </w:p>
    <w:p w14:paraId="1691015B" w14:textId="77777777" w:rsidR="0025085D" w:rsidRDefault="0025085D" w:rsidP="009144A1">
      <w:pPr>
        <w:rPr>
          <w:b/>
          <w:i/>
          <w:sz w:val="18"/>
        </w:rPr>
      </w:pPr>
    </w:p>
    <w:p w14:paraId="53EDBE79" w14:textId="77777777" w:rsidR="0025085D" w:rsidRDefault="0025085D" w:rsidP="009144A1">
      <w:pPr>
        <w:rPr>
          <w:b/>
          <w:i/>
          <w:sz w:val="18"/>
        </w:rPr>
      </w:pPr>
    </w:p>
    <w:p w14:paraId="62B10D8F" w14:textId="77777777" w:rsidR="0025085D" w:rsidRDefault="0025085D" w:rsidP="009144A1">
      <w:pPr>
        <w:rPr>
          <w:b/>
          <w:i/>
          <w:sz w:val="18"/>
        </w:rPr>
      </w:pPr>
    </w:p>
    <w:p w14:paraId="3D620C7A" w14:textId="77777777" w:rsidR="0025085D" w:rsidRDefault="0025085D" w:rsidP="009144A1">
      <w:pPr>
        <w:rPr>
          <w:b/>
          <w:i/>
          <w:sz w:val="18"/>
        </w:rPr>
      </w:pPr>
    </w:p>
    <w:p w14:paraId="758582E0" w14:textId="77777777" w:rsidR="0025085D" w:rsidRDefault="0025085D" w:rsidP="009144A1">
      <w:pPr>
        <w:rPr>
          <w:b/>
          <w:i/>
          <w:sz w:val="18"/>
        </w:rPr>
      </w:pPr>
    </w:p>
    <w:p w14:paraId="1DFAD46C" w14:textId="77777777" w:rsidR="0025085D" w:rsidRDefault="0025085D" w:rsidP="009144A1">
      <w:pPr>
        <w:rPr>
          <w:b/>
          <w:i/>
          <w:sz w:val="18"/>
        </w:rPr>
      </w:pPr>
    </w:p>
    <w:p w14:paraId="3AB3EF41" w14:textId="77777777" w:rsidR="0025085D" w:rsidRDefault="0025085D" w:rsidP="009144A1">
      <w:pPr>
        <w:rPr>
          <w:b/>
          <w:i/>
          <w:sz w:val="18"/>
        </w:rPr>
      </w:pPr>
    </w:p>
    <w:p w14:paraId="23EE570C" w14:textId="77777777" w:rsidR="0025085D" w:rsidRDefault="0025085D" w:rsidP="009144A1">
      <w:pPr>
        <w:rPr>
          <w:b/>
          <w:i/>
          <w:sz w:val="18"/>
        </w:rPr>
      </w:pPr>
    </w:p>
    <w:p w14:paraId="098E3750" w14:textId="77777777" w:rsidR="0025085D" w:rsidRDefault="0025085D" w:rsidP="009144A1">
      <w:pPr>
        <w:rPr>
          <w:b/>
          <w:i/>
          <w:sz w:val="18"/>
        </w:rPr>
      </w:pPr>
    </w:p>
    <w:p w14:paraId="2FECA446" w14:textId="77777777" w:rsidR="0025085D" w:rsidRDefault="0025085D" w:rsidP="009144A1">
      <w:pPr>
        <w:rPr>
          <w:b/>
          <w:i/>
          <w:sz w:val="18"/>
        </w:rPr>
      </w:pPr>
    </w:p>
    <w:p w14:paraId="2466CB5A" w14:textId="77777777" w:rsidR="0025085D" w:rsidRDefault="0025085D" w:rsidP="009144A1">
      <w:pPr>
        <w:rPr>
          <w:b/>
          <w:i/>
          <w:sz w:val="18"/>
        </w:rPr>
      </w:pPr>
    </w:p>
    <w:p w14:paraId="1693FED5" w14:textId="77777777" w:rsidR="0025085D" w:rsidRDefault="0025085D" w:rsidP="009144A1">
      <w:pPr>
        <w:rPr>
          <w:b/>
          <w:i/>
          <w:sz w:val="18"/>
        </w:rPr>
      </w:pPr>
    </w:p>
    <w:p w14:paraId="3F28F603" w14:textId="77777777" w:rsidR="0025085D" w:rsidRDefault="0025085D" w:rsidP="009144A1">
      <w:pPr>
        <w:rPr>
          <w:b/>
          <w:i/>
          <w:sz w:val="18"/>
        </w:rPr>
      </w:pPr>
    </w:p>
    <w:p w14:paraId="455B01F2" w14:textId="77777777" w:rsidR="0025085D" w:rsidRDefault="0025085D" w:rsidP="009144A1">
      <w:pPr>
        <w:rPr>
          <w:b/>
          <w:i/>
          <w:sz w:val="18"/>
        </w:rPr>
      </w:pPr>
    </w:p>
    <w:p w14:paraId="2BB9362E" w14:textId="77777777" w:rsidR="0025085D" w:rsidRDefault="0025085D" w:rsidP="009144A1">
      <w:pPr>
        <w:rPr>
          <w:b/>
          <w:i/>
          <w:sz w:val="18"/>
        </w:rPr>
      </w:pPr>
    </w:p>
    <w:p w14:paraId="392D7185" w14:textId="77777777" w:rsidR="0025085D" w:rsidRDefault="0025085D" w:rsidP="009144A1">
      <w:pPr>
        <w:rPr>
          <w:b/>
          <w:i/>
          <w:sz w:val="18"/>
        </w:rPr>
      </w:pPr>
    </w:p>
    <w:p w14:paraId="46A401A1" w14:textId="1F68C07A" w:rsidR="0025085D" w:rsidRPr="00385067" w:rsidRDefault="0025085D" w:rsidP="009144A1">
      <w:pPr>
        <w:rPr>
          <w:b/>
          <w:i/>
          <w:sz w:val="18"/>
        </w:rPr>
      </w:pPr>
      <w:r>
        <w:rPr>
          <w:b/>
          <w:i/>
          <w:sz w:val="18"/>
        </w:rPr>
        <w:t>Contract disclosure guide</w:t>
      </w:r>
    </w:p>
    <w:tbl>
      <w:tblPr>
        <w:tblStyle w:val="TableGrid"/>
        <w:tblW w:w="5000" w:type="pct"/>
        <w:tblLook w:val="04A0" w:firstRow="1" w:lastRow="0" w:firstColumn="1" w:lastColumn="0" w:noHBand="0" w:noVBand="1"/>
      </w:tblPr>
      <w:tblGrid>
        <w:gridCol w:w="2073"/>
        <w:gridCol w:w="2508"/>
        <w:gridCol w:w="5897"/>
      </w:tblGrid>
      <w:tr w:rsidR="0025085D" w14:paraId="3F59502F" w14:textId="77777777" w:rsidTr="00143AD0">
        <w:tc>
          <w:tcPr>
            <w:tcW w:w="989" w:type="pct"/>
            <w:shd w:val="clear" w:color="auto" w:fill="0070C0"/>
            <w:hideMark/>
          </w:tcPr>
          <w:p w14:paraId="1CDF4592" w14:textId="77777777" w:rsidR="0025085D" w:rsidRDefault="0025085D" w:rsidP="00753813">
            <w:pPr>
              <w:jc w:val="center"/>
              <w:rPr>
                <w:rFonts w:cs="Arial"/>
                <w:b/>
                <w:bCs/>
              </w:rPr>
            </w:pPr>
            <w:bookmarkStart w:id="0" w:name="_Hlk170226698"/>
            <w:r>
              <w:rPr>
                <w:rFonts w:cs="Arial"/>
                <w:b/>
                <w:bCs/>
                <w:color w:val="FFFFFF" w:themeColor="background1"/>
              </w:rPr>
              <w:t>Version</w:t>
            </w:r>
          </w:p>
        </w:tc>
        <w:tc>
          <w:tcPr>
            <w:tcW w:w="1197" w:type="pct"/>
            <w:shd w:val="clear" w:color="auto" w:fill="0070C0"/>
            <w:hideMark/>
          </w:tcPr>
          <w:p w14:paraId="3C7CC1D7" w14:textId="77777777" w:rsidR="0025085D" w:rsidRDefault="0025085D" w:rsidP="00753813">
            <w:pPr>
              <w:jc w:val="center"/>
              <w:rPr>
                <w:rFonts w:cs="Arial"/>
              </w:rPr>
            </w:pPr>
            <w:r>
              <w:rPr>
                <w:rFonts w:cs="Arial"/>
                <w:b/>
                <w:bCs/>
                <w:color w:val="FFFFFF" w:themeColor="background1"/>
              </w:rPr>
              <w:t>Date</w:t>
            </w:r>
          </w:p>
        </w:tc>
        <w:tc>
          <w:tcPr>
            <w:tcW w:w="2813" w:type="pct"/>
            <w:shd w:val="clear" w:color="auto" w:fill="0070C0"/>
            <w:hideMark/>
          </w:tcPr>
          <w:p w14:paraId="192519BE" w14:textId="77777777" w:rsidR="0025085D" w:rsidRDefault="0025085D" w:rsidP="00753813">
            <w:pPr>
              <w:jc w:val="center"/>
              <w:rPr>
                <w:rFonts w:cs="Arial"/>
              </w:rPr>
            </w:pPr>
            <w:r>
              <w:rPr>
                <w:rFonts w:cs="Arial"/>
                <w:b/>
                <w:bCs/>
                <w:color w:val="FFFFFF" w:themeColor="background1"/>
              </w:rPr>
              <w:t>Comments</w:t>
            </w:r>
          </w:p>
        </w:tc>
      </w:tr>
      <w:tr w:rsidR="0025085D" w:rsidRPr="00986344" w14:paraId="44B22C85" w14:textId="77777777" w:rsidTr="00143AD0">
        <w:tc>
          <w:tcPr>
            <w:tcW w:w="989" w:type="pct"/>
          </w:tcPr>
          <w:p w14:paraId="606603D3" w14:textId="77777777" w:rsidR="0025085D" w:rsidRDefault="0025085D" w:rsidP="00753813">
            <w:pPr>
              <w:rPr>
                <w:rFonts w:cs="Arial"/>
                <w:sz w:val="16"/>
                <w:szCs w:val="16"/>
              </w:rPr>
            </w:pPr>
            <w:r>
              <w:rPr>
                <w:rFonts w:cs="Arial"/>
                <w:sz w:val="16"/>
                <w:szCs w:val="16"/>
              </w:rPr>
              <w:t>v4.2</w:t>
            </w:r>
          </w:p>
        </w:tc>
        <w:tc>
          <w:tcPr>
            <w:tcW w:w="1197" w:type="pct"/>
          </w:tcPr>
          <w:p w14:paraId="44AD8CF2" w14:textId="77777777" w:rsidR="0025085D" w:rsidRPr="004039E6" w:rsidRDefault="0025085D" w:rsidP="00753813">
            <w:pPr>
              <w:rPr>
                <w:rFonts w:cs="Arial"/>
                <w:sz w:val="16"/>
                <w:szCs w:val="16"/>
                <w:highlight w:val="yellow"/>
              </w:rPr>
            </w:pPr>
            <w:r w:rsidRPr="0055062D">
              <w:rPr>
                <w:rFonts w:cs="Arial"/>
                <w:sz w:val="16"/>
                <w:szCs w:val="16"/>
              </w:rPr>
              <w:t>April 2024</w:t>
            </w:r>
          </w:p>
        </w:tc>
        <w:tc>
          <w:tcPr>
            <w:tcW w:w="2813" w:type="pct"/>
          </w:tcPr>
          <w:p w14:paraId="5104EAD7" w14:textId="77777777" w:rsidR="0025085D" w:rsidRPr="00D04091" w:rsidRDefault="0025085D" w:rsidP="00753813">
            <w:pPr>
              <w:rPr>
                <w:rFonts w:cs="Arial"/>
                <w:sz w:val="16"/>
                <w:szCs w:val="16"/>
              </w:rPr>
            </w:pPr>
            <w:r>
              <w:rPr>
                <w:rFonts w:cs="Arial"/>
                <w:sz w:val="16"/>
                <w:szCs w:val="16"/>
              </w:rPr>
              <w:t>-</w:t>
            </w:r>
          </w:p>
        </w:tc>
      </w:tr>
      <w:tr w:rsidR="0025085D" w:rsidRPr="00986344" w14:paraId="4C4D46C8" w14:textId="77777777" w:rsidTr="00143AD0">
        <w:tc>
          <w:tcPr>
            <w:tcW w:w="989" w:type="pct"/>
          </w:tcPr>
          <w:p w14:paraId="0262D22C" w14:textId="77777777" w:rsidR="0025085D" w:rsidRPr="00CF48F4" w:rsidRDefault="0025085D" w:rsidP="00753813">
            <w:pPr>
              <w:rPr>
                <w:rFonts w:cs="Arial"/>
                <w:sz w:val="16"/>
                <w:szCs w:val="16"/>
              </w:rPr>
            </w:pPr>
            <w:r>
              <w:rPr>
                <w:rFonts w:cs="Arial"/>
                <w:sz w:val="16"/>
                <w:szCs w:val="16"/>
              </w:rPr>
              <w:t>v5.0</w:t>
            </w:r>
          </w:p>
        </w:tc>
        <w:tc>
          <w:tcPr>
            <w:tcW w:w="1197" w:type="pct"/>
          </w:tcPr>
          <w:p w14:paraId="24258C05" w14:textId="33D64500" w:rsidR="0025085D" w:rsidRPr="00CF48F4" w:rsidRDefault="005918B2" w:rsidP="00753813">
            <w:pPr>
              <w:rPr>
                <w:rFonts w:cs="Arial"/>
                <w:sz w:val="16"/>
                <w:szCs w:val="16"/>
              </w:rPr>
            </w:pPr>
            <w:r w:rsidRPr="00940971">
              <w:rPr>
                <w:rFonts w:cs="Arial"/>
                <w:sz w:val="16"/>
                <w:szCs w:val="16"/>
              </w:rPr>
              <w:t>May</w:t>
            </w:r>
            <w:r w:rsidR="00253E8A" w:rsidRPr="00940971">
              <w:rPr>
                <w:rFonts w:cs="Arial"/>
                <w:sz w:val="16"/>
                <w:szCs w:val="16"/>
              </w:rPr>
              <w:t xml:space="preserve"> </w:t>
            </w:r>
            <w:r w:rsidR="0025085D" w:rsidRPr="00940971">
              <w:rPr>
                <w:rFonts w:cs="Arial"/>
                <w:sz w:val="16"/>
                <w:szCs w:val="16"/>
              </w:rPr>
              <w:t>2026</w:t>
            </w:r>
          </w:p>
        </w:tc>
        <w:tc>
          <w:tcPr>
            <w:tcW w:w="2813" w:type="pct"/>
          </w:tcPr>
          <w:p w14:paraId="4F7971D6" w14:textId="77777777" w:rsidR="0025085D" w:rsidRPr="00FB7379" w:rsidRDefault="0025085D" w:rsidP="0025085D">
            <w:pPr>
              <w:pStyle w:val="ListParagraph"/>
              <w:numPr>
                <w:ilvl w:val="0"/>
                <w:numId w:val="9"/>
              </w:numPr>
              <w:tabs>
                <w:tab w:val="clear" w:pos="2835"/>
              </w:tabs>
              <w:spacing w:after="0"/>
              <w:rPr>
                <w:rFonts w:cs="Arial"/>
                <w:sz w:val="16"/>
                <w:szCs w:val="16"/>
              </w:rPr>
            </w:pPr>
            <w:r>
              <w:rPr>
                <w:rFonts w:cs="Arial"/>
                <w:sz w:val="16"/>
                <w:szCs w:val="16"/>
              </w:rPr>
              <w:t xml:space="preserve">Minor process </w:t>
            </w:r>
            <w:r w:rsidRPr="00FB7379">
              <w:rPr>
                <w:rFonts w:cs="Arial"/>
                <w:sz w:val="16"/>
                <w:szCs w:val="16"/>
              </w:rPr>
              <w:t>updates made to reflect</w:t>
            </w:r>
            <w:r>
              <w:rPr>
                <w:rFonts w:cs="Arial"/>
                <w:sz w:val="16"/>
                <w:szCs w:val="16"/>
              </w:rPr>
              <w:t xml:space="preserve"> the Queensland Government’s procurement approach</w:t>
            </w:r>
          </w:p>
          <w:p w14:paraId="0110FD4E" w14:textId="77777777" w:rsidR="0025085D" w:rsidRDefault="0025085D" w:rsidP="0025085D">
            <w:pPr>
              <w:pStyle w:val="ListParagraph"/>
              <w:numPr>
                <w:ilvl w:val="0"/>
                <w:numId w:val="9"/>
              </w:numPr>
              <w:tabs>
                <w:tab w:val="clear" w:pos="2835"/>
              </w:tabs>
              <w:spacing w:after="0"/>
              <w:rPr>
                <w:rFonts w:cs="Arial"/>
                <w:sz w:val="16"/>
                <w:szCs w:val="16"/>
              </w:rPr>
            </w:pPr>
            <w:r>
              <w:rPr>
                <w:rFonts w:cs="Arial"/>
                <w:sz w:val="16"/>
                <w:szCs w:val="16"/>
              </w:rPr>
              <w:t>Document title updated</w:t>
            </w:r>
          </w:p>
          <w:p w14:paraId="03D255A8" w14:textId="77777777" w:rsidR="0025085D" w:rsidRDefault="0025085D" w:rsidP="0025085D">
            <w:pPr>
              <w:pStyle w:val="ListParagraph"/>
              <w:numPr>
                <w:ilvl w:val="0"/>
                <w:numId w:val="9"/>
              </w:numPr>
              <w:tabs>
                <w:tab w:val="clear" w:pos="2835"/>
              </w:tabs>
              <w:spacing w:after="0"/>
              <w:rPr>
                <w:rFonts w:cs="Arial"/>
                <w:sz w:val="16"/>
                <w:szCs w:val="16"/>
              </w:rPr>
            </w:pPr>
            <w:r>
              <w:rPr>
                <w:rFonts w:cs="Arial"/>
                <w:sz w:val="16"/>
                <w:szCs w:val="16"/>
              </w:rPr>
              <w:t xml:space="preserve">Consolidated content from </w:t>
            </w:r>
            <w:r w:rsidRPr="00143AD0">
              <w:rPr>
                <w:rFonts w:cs="Arial"/>
                <w:i/>
                <w:iCs/>
                <w:sz w:val="16"/>
                <w:szCs w:val="16"/>
              </w:rPr>
              <w:t>Open data portal publishing user manual for contract disclosure</w:t>
            </w:r>
          </w:p>
          <w:p w14:paraId="372CC9FA" w14:textId="77777777" w:rsidR="0025085D" w:rsidRPr="00BF0ECA" w:rsidRDefault="0025085D" w:rsidP="0025085D">
            <w:pPr>
              <w:pStyle w:val="ListParagraph"/>
              <w:numPr>
                <w:ilvl w:val="0"/>
                <w:numId w:val="9"/>
              </w:numPr>
              <w:tabs>
                <w:tab w:val="clear" w:pos="2835"/>
              </w:tabs>
              <w:spacing w:after="0"/>
              <w:rPr>
                <w:rFonts w:cs="Arial"/>
                <w:sz w:val="16"/>
                <w:szCs w:val="16"/>
              </w:rPr>
            </w:pPr>
            <w:r>
              <w:rPr>
                <w:rFonts w:cs="Arial"/>
                <w:sz w:val="16"/>
                <w:szCs w:val="16"/>
              </w:rPr>
              <w:t>Alignment with Queensland Government corporate branding</w:t>
            </w:r>
          </w:p>
        </w:tc>
      </w:tr>
      <w:bookmarkEnd w:id="0"/>
    </w:tbl>
    <w:p w14:paraId="4BA141C5" w14:textId="77777777" w:rsidR="0025085D" w:rsidRDefault="0025085D" w:rsidP="009144A1">
      <w:pPr>
        <w:rPr>
          <w:b/>
          <w:sz w:val="18"/>
        </w:rPr>
      </w:pPr>
    </w:p>
    <w:p w14:paraId="0464F79D" w14:textId="22266C72" w:rsidR="0025085D" w:rsidRPr="0039469C" w:rsidRDefault="0025085D" w:rsidP="009144A1">
      <w:pPr>
        <w:rPr>
          <w:b/>
          <w:sz w:val="18"/>
        </w:rPr>
      </w:pPr>
      <w:r w:rsidRPr="0039469C">
        <w:rPr>
          <w:b/>
          <w:sz w:val="18"/>
        </w:rPr>
        <w:t xml:space="preserve">The State of Queensland (Department of Housing and Public Works) </w:t>
      </w:r>
      <w:r>
        <w:rPr>
          <w:b/>
          <w:sz w:val="18"/>
        </w:rPr>
        <w:t>202</w:t>
      </w:r>
      <w:r w:rsidR="00143AD0">
        <w:rPr>
          <w:b/>
          <w:sz w:val="18"/>
        </w:rPr>
        <w:t>6</w:t>
      </w:r>
      <w:r w:rsidRPr="0039469C">
        <w:rPr>
          <w:b/>
          <w:sz w:val="18"/>
        </w:rPr>
        <w:t xml:space="preserve">. </w:t>
      </w:r>
    </w:p>
    <w:p w14:paraId="307BFBBB" w14:textId="77777777" w:rsidR="0025085D" w:rsidRDefault="0025085D" w:rsidP="009144A1">
      <w:pPr>
        <w:rPr>
          <w:sz w:val="18"/>
        </w:rPr>
      </w:pPr>
      <w:r w:rsidRPr="00850C98">
        <w:rPr>
          <w:noProof/>
          <w:sz w:val="18"/>
          <w:lang w:eastAsia="en-AU"/>
        </w:rPr>
        <w:drawing>
          <wp:inline distT="0" distB="0" distL="0" distR="0" wp14:anchorId="1408D476" wp14:editId="31CB78C7">
            <wp:extent cx="828675" cy="276225"/>
            <wp:effectExtent l="0" t="0" r="9525" b="9525"/>
            <wp:docPr id="6" name="Picture 6"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675" cy="276225"/>
                    </a:xfrm>
                    <a:prstGeom prst="rect">
                      <a:avLst/>
                    </a:prstGeom>
                    <a:noFill/>
                    <a:ln>
                      <a:noFill/>
                    </a:ln>
                  </pic:spPr>
                </pic:pic>
              </a:graphicData>
            </a:graphic>
          </wp:inline>
        </w:drawing>
      </w:r>
    </w:p>
    <w:p w14:paraId="1F750988" w14:textId="67ABBB96" w:rsidR="0025085D" w:rsidRPr="0039469C" w:rsidRDefault="0025085D" w:rsidP="009144A1">
      <w:pPr>
        <w:rPr>
          <w:sz w:val="18"/>
        </w:rPr>
      </w:pPr>
      <w:hyperlink r:id="rId12" w:history="1">
        <w:r w:rsidRPr="00391D13">
          <w:rPr>
            <w:rStyle w:val="Hyperlink"/>
            <w:sz w:val="18"/>
          </w:rPr>
          <w:t>http://creativecommons.org/licenses/by/4.0/deed.en</w:t>
        </w:r>
      </w:hyperlink>
      <w:r>
        <w:rPr>
          <w:sz w:val="18"/>
        </w:rPr>
        <w:t xml:space="preserve"> </w:t>
      </w:r>
    </w:p>
    <w:p w14:paraId="67FB5CA7" w14:textId="6DC11235" w:rsidR="0025085D" w:rsidRPr="0039469C" w:rsidRDefault="0025085D" w:rsidP="009144A1">
      <w:pPr>
        <w:rPr>
          <w:sz w:val="18"/>
        </w:rPr>
      </w:pPr>
      <w:r w:rsidRPr="0039469C">
        <w:rPr>
          <w:sz w:val="18"/>
        </w:rPr>
        <w:t xml:space="preserve">This work is licensed under a Creative Commons Attribution 4.0 Australia Licence. You are free to copy, communicate and adapt this work, </w:t>
      </w:r>
      <w:proofErr w:type="gramStart"/>
      <w:r w:rsidRPr="0039469C">
        <w:rPr>
          <w:sz w:val="18"/>
        </w:rPr>
        <w:t>as long as</w:t>
      </w:r>
      <w:proofErr w:type="gramEnd"/>
      <w:r w:rsidRPr="0039469C">
        <w:rPr>
          <w:sz w:val="18"/>
        </w:rPr>
        <w:t xml:space="preserve"> you attribute by citing ‘</w:t>
      </w:r>
      <w:r>
        <w:rPr>
          <w:sz w:val="18"/>
        </w:rPr>
        <w:t>Contract disclosure guide</w:t>
      </w:r>
      <w:r w:rsidRPr="0039469C">
        <w:rPr>
          <w:sz w:val="18"/>
        </w:rPr>
        <w:t xml:space="preserve">, State of Queensland (Department of Housing and Public Works) </w:t>
      </w:r>
      <w:r>
        <w:rPr>
          <w:sz w:val="18"/>
        </w:rPr>
        <w:t>2026</w:t>
      </w:r>
      <w:r w:rsidRPr="0039469C">
        <w:rPr>
          <w:sz w:val="18"/>
        </w:rPr>
        <w:t xml:space="preserve">’. </w:t>
      </w:r>
    </w:p>
    <w:p w14:paraId="311E5FFD" w14:textId="77777777" w:rsidR="0025085D" w:rsidRPr="0039469C" w:rsidRDefault="0025085D" w:rsidP="009144A1">
      <w:pPr>
        <w:rPr>
          <w:b/>
          <w:sz w:val="18"/>
        </w:rPr>
      </w:pPr>
      <w:r w:rsidRPr="0039469C">
        <w:rPr>
          <w:b/>
          <w:sz w:val="18"/>
        </w:rPr>
        <w:t xml:space="preserve">Contact us </w:t>
      </w:r>
    </w:p>
    <w:p w14:paraId="75554745" w14:textId="24FE3754" w:rsidR="0025085D" w:rsidRPr="0039469C" w:rsidRDefault="0025085D" w:rsidP="009144A1">
      <w:pPr>
        <w:rPr>
          <w:sz w:val="18"/>
        </w:rPr>
      </w:pPr>
      <w:r w:rsidRPr="0039469C">
        <w:rPr>
          <w:sz w:val="18"/>
        </w:rPr>
        <w:t xml:space="preserve">We are committed to continuous improvement. If you have any suggestions about how we can improve this </w:t>
      </w:r>
      <w:r>
        <w:rPr>
          <w:sz w:val="18"/>
        </w:rPr>
        <w:t>document</w:t>
      </w:r>
      <w:r w:rsidRPr="0039469C">
        <w:rPr>
          <w:sz w:val="18"/>
        </w:rPr>
        <w:t>, or if you have any questions, contact us at</w:t>
      </w:r>
      <w:r w:rsidR="000E64D9">
        <w:rPr>
          <w:sz w:val="18"/>
        </w:rPr>
        <w:t xml:space="preserve"> </w:t>
      </w:r>
      <w:hyperlink r:id="rId13" w:history="1">
        <w:r w:rsidR="000E64D9" w:rsidRPr="009D4DDC">
          <w:rPr>
            <w:rStyle w:val="Hyperlink"/>
            <w:sz w:val="18"/>
          </w:rPr>
          <w:t>ProcurementPolicy@qld.gov.au</w:t>
        </w:r>
      </w:hyperlink>
      <w:r w:rsidR="000E64D9">
        <w:rPr>
          <w:sz w:val="18"/>
        </w:rPr>
        <w:t xml:space="preserve">. </w:t>
      </w:r>
    </w:p>
    <w:p w14:paraId="639C2484" w14:textId="77777777" w:rsidR="0025085D" w:rsidRPr="0039469C" w:rsidRDefault="0025085D" w:rsidP="009144A1">
      <w:pPr>
        <w:rPr>
          <w:b/>
          <w:sz w:val="18"/>
        </w:rPr>
      </w:pPr>
      <w:r w:rsidRPr="0039469C">
        <w:rPr>
          <w:b/>
          <w:sz w:val="18"/>
        </w:rPr>
        <w:t xml:space="preserve">Disclaimer </w:t>
      </w:r>
    </w:p>
    <w:p w14:paraId="7831BEEE" w14:textId="77777777" w:rsidR="0025085D" w:rsidRPr="0039469C" w:rsidRDefault="0025085D" w:rsidP="009144A1">
      <w:pPr>
        <w:rPr>
          <w:sz w:val="18"/>
        </w:rPr>
      </w:pPr>
      <w:r w:rsidRPr="0039469C">
        <w:rPr>
          <w:sz w:val="18"/>
        </w:rPr>
        <w:t xml:space="preserve">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 </w:t>
      </w:r>
    </w:p>
    <w:p w14:paraId="2776AEA4" w14:textId="05AF04CD" w:rsidR="0025085D" w:rsidRDefault="0025085D" w:rsidP="009144A1">
      <w:pPr>
        <w:rPr>
          <w:sz w:val="18"/>
        </w:rPr>
      </w:pPr>
      <w:r w:rsidRPr="0039469C">
        <w:rPr>
          <w:sz w:val="18"/>
        </w:rPr>
        <w:t>The Department of Housing and Public Works disclaim</w:t>
      </w:r>
      <w:r>
        <w:rPr>
          <w:sz w:val="18"/>
        </w:rPr>
        <w:t>s</w:t>
      </w:r>
      <w:r w:rsidRPr="0039469C">
        <w:rPr>
          <w:sz w:val="18"/>
        </w:rPr>
        <w:t xml:space="preserve"> all liability that may arise from the use of this document. This </w:t>
      </w:r>
      <w:r>
        <w:rPr>
          <w:sz w:val="18"/>
        </w:rPr>
        <w:t>document</w:t>
      </w:r>
      <w:r w:rsidRPr="0039469C">
        <w:rPr>
          <w:sz w:val="18"/>
        </w:rPr>
        <w:t xml:space="preserve">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attention</w:t>
      </w:r>
      <w:r w:rsidR="00427109">
        <w:rPr>
          <w:sz w:val="18"/>
        </w:rPr>
        <w:t>,</w:t>
      </w:r>
      <w:r w:rsidRPr="0039469C">
        <w:rPr>
          <w:sz w:val="18"/>
        </w:rPr>
        <w:t xml:space="preserve"> a reasonable effort will be made to correct them.</w:t>
      </w:r>
    </w:p>
    <w:p w14:paraId="0F169EED" w14:textId="77777777" w:rsidR="0025085D" w:rsidRPr="00F471EC" w:rsidRDefault="0025085D" w:rsidP="009144A1">
      <w:pPr>
        <w:rPr>
          <w:b/>
          <w:bCs/>
          <w:sz w:val="18"/>
        </w:rPr>
      </w:pPr>
      <w:r w:rsidRPr="00F471EC">
        <w:rPr>
          <w:b/>
          <w:bCs/>
          <w:sz w:val="18"/>
        </w:rPr>
        <w:t>Administration</w:t>
      </w:r>
    </w:p>
    <w:p w14:paraId="71DB994D" w14:textId="77777777" w:rsidR="0025085D" w:rsidRDefault="0025085D" w:rsidP="009144A1">
      <w:r>
        <w:rPr>
          <w:sz w:val="18"/>
        </w:rPr>
        <w:t>Version 5.0 of this document replaces previous versions of the Procurement guidelines: Contract disclosure and takes effect immediately.</w:t>
      </w:r>
    </w:p>
    <w:sdt>
      <w:sdtPr>
        <w:rPr>
          <w:rFonts w:ascii="Arial" w:eastAsiaTheme="minorEastAsia" w:hAnsi="Arial" w:cstheme="minorBidi"/>
          <w:color w:val="auto"/>
          <w:sz w:val="20"/>
          <w:szCs w:val="20"/>
          <w:lang w:val="en-AU"/>
        </w:rPr>
        <w:id w:val="1195035918"/>
        <w:docPartObj>
          <w:docPartGallery w:val="Table of Contents"/>
          <w:docPartUnique/>
        </w:docPartObj>
      </w:sdtPr>
      <w:sdtEndPr>
        <w:rPr>
          <w:b/>
          <w:bCs/>
          <w:noProof/>
        </w:rPr>
      </w:sdtEndPr>
      <w:sdtContent>
        <w:p w14:paraId="10950973" w14:textId="77777777" w:rsidR="0025085D" w:rsidRPr="00781DA5" w:rsidRDefault="0025085D" w:rsidP="00653BA5">
          <w:pPr>
            <w:pStyle w:val="TOCHeading"/>
            <w:rPr>
              <w:rStyle w:val="Heading1Char"/>
            </w:rPr>
          </w:pPr>
          <w:r w:rsidRPr="00781DA5">
            <w:rPr>
              <w:rStyle w:val="Heading1Char"/>
            </w:rPr>
            <w:t>Table of Contents</w:t>
          </w:r>
        </w:p>
        <w:p w14:paraId="6D2E8EC1" w14:textId="285E0389" w:rsidR="001A752A" w:rsidRDefault="0025085D">
          <w:pPr>
            <w:pStyle w:val="TOC1"/>
            <w:tabs>
              <w:tab w:val="right" w:leader="dot" w:pos="10478"/>
            </w:tabs>
            <w:rPr>
              <w:rFonts w:asciiTheme="minorHAnsi" w:hAnsiTheme="minorHAnsi"/>
              <w:noProof/>
              <w:kern w:val="2"/>
              <w:sz w:val="24"/>
              <w:lang w:eastAsia="en-AU"/>
              <w14:ligatures w14:val="standardContextual"/>
            </w:rPr>
          </w:pPr>
          <w:r>
            <w:fldChar w:fldCharType="begin"/>
          </w:r>
          <w:r>
            <w:instrText xml:space="preserve"> TOC \o "1-3" \h \z \u </w:instrText>
          </w:r>
          <w:r>
            <w:fldChar w:fldCharType="separate"/>
          </w:r>
          <w:hyperlink w:anchor="_Toc228863359" w:history="1">
            <w:r w:rsidR="001A752A" w:rsidRPr="00203A18">
              <w:rPr>
                <w:rStyle w:val="Hyperlink"/>
                <w:noProof/>
              </w:rPr>
              <w:t>Purpose</w:t>
            </w:r>
            <w:r w:rsidR="001A752A">
              <w:rPr>
                <w:noProof/>
                <w:webHidden/>
              </w:rPr>
              <w:tab/>
            </w:r>
            <w:r w:rsidR="001A752A">
              <w:rPr>
                <w:noProof/>
                <w:webHidden/>
              </w:rPr>
              <w:fldChar w:fldCharType="begin"/>
            </w:r>
            <w:r w:rsidR="001A752A">
              <w:rPr>
                <w:noProof/>
                <w:webHidden/>
              </w:rPr>
              <w:instrText xml:space="preserve"> PAGEREF _Toc228863359 \h </w:instrText>
            </w:r>
            <w:r w:rsidR="001A752A">
              <w:rPr>
                <w:noProof/>
                <w:webHidden/>
              </w:rPr>
            </w:r>
            <w:r w:rsidR="001A752A">
              <w:rPr>
                <w:noProof/>
                <w:webHidden/>
              </w:rPr>
              <w:fldChar w:fldCharType="separate"/>
            </w:r>
            <w:r w:rsidR="00E2563C">
              <w:rPr>
                <w:noProof/>
                <w:webHidden/>
              </w:rPr>
              <w:t>4</w:t>
            </w:r>
            <w:r w:rsidR="001A752A">
              <w:rPr>
                <w:noProof/>
                <w:webHidden/>
              </w:rPr>
              <w:fldChar w:fldCharType="end"/>
            </w:r>
          </w:hyperlink>
        </w:p>
        <w:p w14:paraId="2E2782B1" w14:textId="1625BC5C" w:rsidR="001A752A" w:rsidRDefault="001A752A">
          <w:pPr>
            <w:pStyle w:val="TOC1"/>
            <w:tabs>
              <w:tab w:val="right" w:leader="dot" w:pos="10478"/>
            </w:tabs>
            <w:rPr>
              <w:rFonts w:asciiTheme="minorHAnsi" w:hAnsiTheme="minorHAnsi"/>
              <w:noProof/>
              <w:kern w:val="2"/>
              <w:sz w:val="24"/>
              <w:lang w:eastAsia="en-AU"/>
              <w14:ligatures w14:val="standardContextual"/>
            </w:rPr>
          </w:pPr>
          <w:hyperlink w:anchor="_Toc228863360" w:history="1">
            <w:r w:rsidRPr="00203A18">
              <w:rPr>
                <w:rStyle w:val="Hyperlink"/>
                <w:noProof/>
              </w:rPr>
              <w:t>How to use this guide?</w:t>
            </w:r>
            <w:r>
              <w:rPr>
                <w:noProof/>
                <w:webHidden/>
              </w:rPr>
              <w:tab/>
            </w:r>
            <w:r>
              <w:rPr>
                <w:noProof/>
                <w:webHidden/>
              </w:rPr>
              <w:fldChar w:fldCharType="begin"/>
            </w:r>
            <w:r>
              <w:rPr>
                <w:noProof/>
                <w:webHidden/>
              </w:rPr>
              <w:instrText xml:space="preserve"> PAGEREF _Toc228863360 \h </w:instrText>
            </w:r>
            <w:r>
              <w:rPr>
                <w:noProof/>
                <w:webHidden/>
              </w:rPr>
            </w:r>
            <w:r>
              <w:rPr>
                <w:noProof/>
                <w:webHidden/>
              </w:rPr>
              <w:fldChar w:fldCharType="separate"/>
            </w:r>
            <w:r w:rsidR="00E2563C">
              <w:rPr>
                <w:noProof/>
                <w:webHidden/>
              </w:rPr>
              <w:t>4</w:t>
            </w:r>
            <w:r>
              <w:rPr>
                <w:noProof/>
                <w:webHidden/>
              </w:rPr>
              <w:fldChar w:fldCharType="end"/>
            </w:r>
          </w:hyperlink>
        </w:p>
        <w:p w14:paraId="3CCD8E74" w14:textId="651EB72C" w:rsidR="001A752A" w:rsidRDefault="001A752A">
          <w:pPr>
            <w:pStyle w:val="TOC1"/>
            <w:tabs>
              <w:tab w:val="right" w:leader="dot" w:pos="10478"/>
            </w:tabs>
            <w:rPr>
              <w:rFonts w:asciiTheme="minorHAnsi" w:hAnsiTheme="minorHAnsi"/>
              <w:noProof/>
              <w:kern w:val="2"/>
              <w:sz w:val="24"/>
              <w:lang w:eastAsia="en-AU"/>
              <w14:ligatures w14:val="standardContextual"/>
            </w:rPr>
          </w:pPr>
          <w:hyperlink w:anchor="_Toc228863361" w:history="1">
            <w:r w:rsidRPr="00203A18">
              <w:rPr>
                <w:rStyle w:val="Hyperlink"/>
                <w:noProof/>
              </w:rPr>
              <w:t>Contract disclosure</w:t>
            </w:r>
            <w:r>
              <w:rPr>
                <w:noProof/>
                <w:webHidden/>
              </w:rPr>
              <w:tab/>
            </w:r>
            <w:r>
              <w:rPr>
                <w:noProof/>
                <w:webHidden/>
              </w:rPr>
              <w:fldChar w:fldCharType="begin"/>
            </w:r>
            <w:r>
              <w:rPr>
                <w:noProof/>
                <w:webHidden/>
              </w:rPr>
              <w:instrText xml:space="preserve"> PAGEREF _Toc228863361 \h </w:instrText>
            </w:r>
            <w:r>
              <w:rPr>
                <w:noProof/>
                <w:webHidden/>
              </w:rPr>
            </w:r>
            <w:r>
              <w:rPr>
                <w:noProof/>
                <w:webHidden/>
              </w:rPr>
              <w:fldChar w:fldCharType="separate"/>
            </w:r>
            <w:r w:rsidR="00E2563C">
              <w:rPr>
                <w:noProof/>
                <w:webHidden/>
              </w:rPr>
              <w:t>4</w:t>
            </w:r>
            <w:r>
              <w:rPr>
                <w:noProof/>
                <w:webHidden/>
              </w:rPr>
              <w:fldChar w:fldCharType="end"/>
            </w:r>
          </w:hyperlink>
        </w:p>
        <w:p w14:paraId="34DEBCED" w14:textId="74936EC3" w:rsidR="001A752A" w:rsidRDefault="001A752A">
          <w:pPr>
            <w:pStyle w:val="TOC1"/>
            <w:tabs>
              <w:tab w:val="right" w:leader="dot" w:pos="10478"/>
            </w:tabs>
            <w:rPr>
              <w:rFonts w:asciiTheme="minorHAnsi" w:hAnsiTheme="minorHAnsi"/>
              <w:noProof/>
              <w:kern w:val="2"/>
              <w:sz w:val="24"/>
              <w:lang w:eastAsia="en-AU"/>
              <w14:ligatures w14:val="standardContextual"/>
            </w:rPr>
          </w:pPr>
          <w:hyperlink w:anchor="_Toc228863362" w:history="1">
            <w:r w:rsidRPr="00203A18">
              <w:rPr>
                <w:rStyle w:val="Hyperlink"/>
                <w:noProof/>
              </w:rPr>
              <w:t>Process summary</w:t>
            </w:r>
            <w:r>
              <w:rPr>
                <w:noProof/>
                <w:webHidden/>
              </w:rPr>
              <w:tab/>
            </w:r>
            <w:r>
              <w:rPr>
                <w:noProof/>
                <w:webHidden/>
              </w:rPr>
              <w:fldChar w:fldCharType="begin"/>
            </w:r>
            <w:r>
              <w:rPr>
                <w:noProof/>
                <w:webHidden/>
              </w:rPr>
              <w:instrText xml:space="preserve"> PAGEREF _Toc228863362 \h </w:instrText>
            </w:r>
            <w:r>
              <w:rPr>
                <w:noProof/>
                <w:webHidden/>
              </w:rPr>
            </w:r>
            <w:r>
              <w:rPr>
                <w:noProof/>
                <w:webHidden/>
              </w:rPr>
              <w:fldChar w:fldCharType="separate"/>
            </w:r>
            <w:r w:rsidR="00E2563C">
              <w:rPr>
                <w:noProof/>
                <w:webHidden/>
              </w:rPr>
              <w:t>5</w:t>
            </w:r>
            <w:r>
              <w:rPr>
                <w:noProof/>
                <w:webHidden/>
              </w:rPr>
              <w:fldChar w:fldCharType="end"/>
            </w:r>
          </w:hyperlink>
        </w:p>
        <w:p w14:paraId="6002A032" w14:textId="2EFDD450" w:rsidR="001A752A" w:rsidRDefault="001A752A">
          <w:pPr>
            <w:pStyle w:val="TOC1"/>
            <w:tabs>
              <w:tab w:val="right" w:leader="dot" w:pos="10478"/>
            </w:tabs>
            <w:rPr>
              <w:rFonts w:asciiTheme="minorHAnsi" w:hAnsiTheme="minorHAnsi"/>
              <w:noProof/>
              <w:kern w:val="2"/>
              <w:sz w:val="24"/>
              <w:lang w:eastAsia="en-AU"/>
              <w14:ligatures w14:val="standardContextual"/>
            </w:rPr>
          </w:pPr>
          <w:hyperlink w:anchor="_Toc228863363" w:history="1">
            <w:r w:rsidRPr="00203A18">
              <w:rPr>
                <w:rStyle w:val="Hyperlink"/>
                <w:noProof/>
              </w:rPr>
              <w:t>Reportable contract</w:t>
            </w:r>
            <w:r>
              <w:rPr>
                <w:noProof/>
                <w:webHidden/>
              </w:rPr>
              <w:tab/>
            </w:r>
            <w:r>
              <w:rPr>
                <w:noProof/>
                <w:webHidden/>
              </w:rPr>
              <w:fldChar w:fldCharType="begin"/>
            </w:r>
            <w:r>
              <w:rPr>
                <w:noProof/>
                <w:webHidden/>
              </w:rPr>
              <w:instrText xml:space="preserve"> PAGEREF _Toc228863363 \h </w:instrText>
            </w:r>
            <w:r>
              <w:rPr>
                <w:noProof/>
                <w:webHidden/>
              </w:rPr>
            </w:r>
            <w:r>
              <w:rPr>
                <w:noProof/>
                <w:webHidden/>
              </w:rPr>
              <w:fldChar w:fldCharType="separate"/>
            </w:r>
            <w:r w:rsidR="00E2563C">
              <w:rPr>
                <w:noProof/>
                <w:webHidden/>
              </w:rPr>
              <w:t>6</w:t>
            </w:r>
            <w:r>
              <w:rPr>
                <w:noProof/>
                <w:webHidden/>
              </w:rPr>
              <w:fldChar w:fldCharType="end"/>
            </w:r>
          </w:hyperlink>
        </w:p>
        <w:p w14:paraId="5FC87EAC" w14:textId="1A77F9B4" w:rsidR="001A752A" w:rsidRDefault="001A752A">
          <w:pPr>
            <w:pStyle w:val="TOC2"/>
            <w:tabs>
              <w:tab w:val="right" w:leader="dot" w:pos="10478"/>
            </w:tabs>
            <w:rPr>
              <w:rFonts w:asciiTheme="minorHAnsi" w:hAnsiTheme="minorHAnsi"/>
              <w:noProof/>
              <w:kern w:val="2"/>
              <w:sz w:val="24"/>
              <w:lang w:eastAsia="en-AU"/>
              <w14:ligatures w14:val="standardContextual"/>
            </w:rPr>
          </w:pPr>
          <w:hyperlink w:anchor="_Toc228863364" w:history="1">
            <w:r w:rsidRPr="00203A18">
              <w:rPr>
                <w:rStyle w:val="Hyperlink"/>
                <w:noProof/>
              </w:rPr>
              <w:t>Value threshold for disclosure</w:t>
            </w:r>
            <w:r>
              <w:rPr>
                <w:noProof/>
                <w:webHidden/>
              </w:rPr>
              <w:tab/>
            </w:r>
            <w:r>
              <w:rPr>
                <w:noProof/>
                <w:webHidden/>
              </w:rPr>
              <w:fldChar w:fldCharType="begin"/>
            </w:r>
            <w:r>
              <w:rPr>
                <w:noProof/>
                <w:webHidden/>
              </w:rPr>
              <w:instrText xml:space="preserve"> PAGEREF _Toc228863364 \h </w:instrText>
            </w:r>
            <w:r>
              <w:rPr>
                <w:noProof/>
                <w:webHidden/>
              </w:rPr>
            </w:r>
            <w:r>
              <w:rPr>
                <w:noProof/>
                <w:webHidden/>
              </w:rPr>
              <w:fldChar w:fldCharType="separate"/>
            </w:r>
            <w:r w:rsidR="00E2563C">
              <w:rPr>
                <w:noProof/>
                <w:webHidden/>
              </w:rPr>
              <w:t>7</w:t>
            </w:r>
            <w:r>
              <w:rPr>
                <w:noProof/>
                <w:webHidden/>
              </w:rPr>
              <w:fldChar w:fldCharType="end"/>
            </w:r>
          </w:hyperlink>
        </w:p>
        <w:p w14:paraId="29B06487" w14:textId="00A8167C" w:rsidR="001A752A" w:rsidRDefault="001A752A">
          <w:pPr>
            <w:pStyle w:val="TOC2"/>
            <w:tabs>
              <w:tab w:val="right" w:leader="dot" w:pos="10478"/>
            </w:tabs>
            <w:rPr>
              <w:rFonts w:asciiTheme="minorHAnsi" w:hAnsiTheme="minorHAnsi"/>
              <w:noProof/>
              <w:kern w:val="2"/>
              <w:sz w:val="24"/>
              <w:lang w:eastAsia="en-AU"/>
              <w14:ligatures w14:val="standardContextual"/>
            </w:rPr>
          </w:pPr>
          <w:hyperlink w:anchor="_Toc228863365" w:history="1">
            <w:r w:rsidRPr="00203A18">
              <w:rPr>
                <w:rStyle w:val="Hyperlink"/>
                <w:noProof/>
              </w:rPr>
              <w:t>Legally binding contract subject to disclosure</w:t>
            </w:r>
            <w:r>
              <w:rPr>
                <w:noProof/>
                <w:webHidden/>
              </w:rPr>
              <w:tab/>
            </w:r>
            <w:r>
              <w:rPr>
                <w:noProof/>
                <w:webHidden/>
              </w:rPr>
              <w:fldChar w:fldCharType="begin"/>
            </w:r>
            <w:r>
              <w:rPr>
                <w:noProof/>
                <w:webHidden/>
              </w:rPr>
              <w:instrText xml:space="preserve"> PAGEREF _Toc228863365 \h </w:instrText>
            </w:r>
            <w:r>
              <w:rPr>
                <w:noProof/>
                <w:webHidden/>
              </w:rPr>
            </w:r>
            <w:r>
              <w:rPr>
                <w:noProof/>
                <w:webHidden/>
              </w:rPr>
              <w:fldChar w:fldCharType="separate"/>
            </w:r>
            <w:r w:rsidR="00E2563C">
              <w:rPr>
                <w:noProof/>
                <w:webHidden/>
              </w:rPr>
              <w:t>8</w:t>
            </w:r>
            <w:r>
              <w:rPr>
                <w:noProof/>
                <w:webHidden/>
              </w:rPr>
              <w:fldChar w:fldCharType="end"/>
            </w:r>
          </w:hyperlink>
        </w:p>
        <w:p w14:paraId="6F0D52ED" w14:textId="20963228" w:rsidR="001A752A" w:rsidRDefault="001A752A">
          <w:pPr>
            <w:pStyle w:val="TOC1"/>
            <w:tabs>
              <w:tab w:val="right" w:leader="dot" w:pos="10478"/>
            </w:tabs>
            <w:rPr>
              <w:rFonts w:asciiTheme="minorHAnsi" w:hAnsiTheme="minorHAnsi"/>
              <w:noProof/>
              <w:kern w:val="2"/>
              <w:sz w:val="24"/>
              <w:lang w:eastAsia="en-AU"/>
              <w14:ligatures w14:val="standardContextual"/>
            </w:rPr>
          </w:pPr>
          <w:hyperlink w:anchor="_Toc228863366" w:history="1">
            <w:r w:rsidRPr="00203A18">
              <w:rPr>
                <w:rStyle w:val="Hyperlink"/>
                <w:noProof/>
              </w:rPr>
              <w:t>Material change to a contract</w:t>
            </w:r>
            <w:r>
              <w:rPr>
                <w:noProof/>
                <w:webHidden/>
              </w:rPr>
              <w:tab/>
            </w:r>
            <w:r>
              <w:rPr>
                <w:noProof/>
                <w:webHidden/>
              </w:rPr>
              <w:fldChar w:fldCharType="begin"/>
            </w:r>
            <w:r>
              <w:rPr>
                <w:noProof/>
                <w:webHidden/>
              </w:rPr>
              <w:instrText xml:space="preserve"> PAGEREF _Toc228863366 \h </w:instrText>
            </w:r>
            <w:r>
              <w:rPr>
                <w:noProof/>
                <w:webHidden/>
              </w:rPr>
            </w:r>
            <w:r>
              <w:rPr>
                <w:noProof/>
                <w:webHidden/>
              </w:rPr>
              <w:fldChar w:fldCharType="separate"/>
            </w:r>
            <w:r w:rsidR="00E2563C">
              <w:rPr>
                <w:noProof/>
                <w:webHidden/>
              </w:rPr>
              <w:t>9</w:t>
            </w:r>
            <w:r>
              <w:rPr>
                <w:noProof/>
                <w:webHidden/>
              </w:rPr>
              <w:fldChar w:fldCharType="end"/>
            </w:r>
          </w:hyperlink>
        </w:p>
        <w:p w14:paraId="6D333DAA" w14:textId="00C16BE2" w:rsidR="001A752A" w:rsidRDefault="001A752A">
          <w:pPr>
            <w:pStyle w:val="TOC1"/>
            <w:tabs>
              <w:tab w:val="right" w:leader="dot" w:pos="10478"/>
            </w:tabs>
            <w:rPr>
              <w:rFonts w:asciiTheme="minorHAnsi" w:hAnsiTheme="minorHAnsi"/>
              <w:noProof/>
              <w:kern w:val="2"/>
              <w:sz w:val="24"/>
              <w:lang w:eastAsia="en-AU"/>
              <w14:ligatures w14:val="standardContextual"/>
            </w:rPr>
          </w:pPr>
          <w:hyperlink w:anchor="_Toc228863367" w:history="1">
            <w:r w:rsidRPr="00203A18">
              <w:rPr>
                <w:rStyle w:val="Hyperlink"/>
                <w:noProof/>
              </w:rPr>
              <w:t>Identify and record if there are any reasons why disclosure should not occur</w:t>
            </w:r>
            <w:r>
              <w:rPr>
                <w:noProof/>
                <w:webHidden/>
              </w:rPr>
              <w:tab/>
            </w:r>
            <w:r>
              <w:rPr>
                <w:noProof/>
                <w:webHidden/>
              </w:rPr>
              <w:fldChar w:fldCharType="begin"/>
            </w:r>
            <w:r>
              <w:rPr>
                <w:noProof/>
                <w:webHidden/>
              </w:rPr>
              <w:instrText xml:space="preserve"> PAGEREF _Toc228863367 \h </w:instrText>
            </w:r>
            <w:r>
              <w:rPr>
                <w:noProof/>
                <w:webHidden/>
              </w:rPr>
            </w:r>
            <w:r>
              <w:rPr>
                <w:noProof/>
                <w:webHidden/>
              </w:rPr>
              <w:fldChar w:fldCharType="separate"/>
            </w:r>
            <w:r w:rsidR="00E2563C">
              <w:rPr>
                <w:noProof/>
                <w:webHidden/>
              </w:rPr>
              <w:t>10</w:t>
            </w:r>
            <w:r>
              <w:rPr>
                <w:noProof/>
                <w:webHidden/>
              </w:rPr>
              <w:fldChar w:fldCharType="end"/>
            </w:r>
          </w:hyperlink>
        </w:p>
        <w:p w14:paraId="61D18E6E" w14:textId="1B59077F" w:rsidR="001A752A" w:rsidRDefault="001A752A">
          <w:pPr>
            <w:pStyle w:val="TOC3"/>
            <w:tabs>
              <w:tab w:val="right" w:leader="dot" w:pos="10478"/>
            </w:tabs>
            <w:rPr>
              <w:rFonts w:asciiTheme="minorHAnsi" w:hAnsiTheme="minorHAnsi"/>
              <w:noProof/>
              <w:kern w:val="2"/>
              <w:sz w:val="24"/>
              <w:lang w:eastAsia="en-AU"/>
              <w14:ligatures w14:val="standardContextual"/>
            </w:rPr>
          </w:pPr>
          <w:hyperlink w:anchor="_Toc228863368" w:history="1">
            <w:r w:rsidRPr="00203A18">
              <w:rPr>
                <w:rStyle w:val="Hyperlink"/>
                <w:noProof/>
              </w:rPr>
              <w:t>Right to Information</w:t>
            </w:r>
            <w:r>
              <w:rPr>
                <w:noProof/>
                <w:webHidden/>
              </w:rPr>
              <w:tab/>
            </w:r>
            <w:r>
              <w:rPr>
                <w:noProof/>
                <w:webHidden/>
              </w:rPr>
              <w:fldChar w:fldCharType="begin"/>
            </w:r>
            <w:r>
              <w:rPr>
                <w:noProof/>
                <w:webHidden/>
              </w:rPr>
              <w:instrText xml:space="preserve"> PAGEREF _Toc228863368 \h </w:instrText>
            </w:r>
            <w:r>
              <w:rPr>
                <w:noProof/>
                <w:webHidden/>
              </w:rPr>
            </w:r>
            <w:r>
              <w:rPr>
                <w:noProof/>
                <w:webHidden/>
              </w:rPr>
              <w:fldChar w:fldCharType="separate"/>
            </w:r>
            <w:r w:rsidR="00E2563C">
              <w:rPr>
                <w:noProof/>
                <w:webHidden/>
              </w:rPr>
              <w:t>11</w:t>
            </w:r>
            <w:r>
              <w:rPr>
                <w:noProof/>
                <w:webHidden/>
              </w:rPr>
              <w:fldChar w:fldCharType="end"/>
            </w:r>
          </w:hyperlink>
        </w:p>
        <w:p w14:paraId="3F51EC8D" w14:textId="190A04ED" w:rsidR="001A752A" w:rsidRDefault="001A752A">
          <w:pPr>
            <w:pStyle w:val="TOC3"/>
            <w:tabs>
              <w:tab w:val="right" w:leader="dot" w:pos="10478"/>
            </w:tabs>
            <w:rPr>
              <w:rFonts w:asciiTheme="minorHAnsi" w:hAnsiTheme="minorHAnsi"/>
              <w:noProof/>
              <w:kern w:val="2"/>
              <w:sz w:val="24"/>
              <w:lang w:eastAsia="en-AU"/>
              <w14:ligatures w14:val="standardContextual"/>
            </w:rPr>
          </w:pPr>
          <w:hyperlink w:anchor="_Toc228863369" w:history="1">
            <w:r w:rsidRPr="00203A18">
              <w:rPr>
                <w:rStyle w:val="Hyperlink"/>
                <w:noProof/>
              </w:rPr>
              <w:t>Information Privacy</w:t>
            </w:r>
            <w:r>
              <w:rPr>
                <w:noProof/>
                <w:webHidden/>
              </w:rPr>
              <w:tab/>
            </w:r>
            <w:r>
              <w:rPr>
                <w:noProof/>
                <w:webHidden/>
              </w:rPr>
              <w:fldChar w:fldCharType="begin"/>
            </w:r>
            <w:r>
              <w:rPr>
                <w:noProof/>
                <w:webHidden/>
              </w:rPr>
              <w:instrText xml:space="preserve"> PAGEREF _Toc228863369 \h </w:instrText>
            </w:r>
            <w:r>
              <w:rPr>
                <w:noProof/>
                <w:webHidden/>
              </w:rPr>
            </w:r>
            <w:r>
              <w:rPr>
                <w:noProof/>
                <w:webHidden/>
              </w:rPr>
              <w:fldChar w:fldCharType="separate"/>
            </w:r>
            <w:r w:rsidR="00E2563C">
              <w:rPr>
                <w:noProof/>
                <w:webHidden/>
              </w:rPr>
              <w:t>12</w:t>
            </w:r>
            <w:r>
              <w:rPr>
                <w:noProof/>
                <w:webHidden/>
              </w:rPr>
              <w:fldChar w:fldCharType="end"/>
            </w:r>
          </w:hyperlink>
        </w:p>
        <w:p w14:paraId="44ECA7DA" w14:textId="31C0E89D" w:rsidR="001A752A" w:rsidRDefault="001A752A">
          <w:pPr>
            <w:pStyle w:val="TOC1"/>
            <w:tabs>
              <w:tab w:val="right" w:leader="dot" w:pos="10478"/>
            </w:tabs>
            <w:rPr>
              <w:rFonts w:asciiTheme="minorHAnsi" w:hAnsiTheme="minorHAnsi"/>
              <w:noProof/>
              <w:kern w:val="2"/>
              <w:sz w:val="24"/>
              <w:lang w:eastAsia="en-AU"/>
              <w14:ligatures w14:val="standardContextual"/>
            </w:rPr>
          </w:pPr>
          <w:hyperlink w:anchor="_Toc228863370" w:history="1">
            <w:r w:rsidRPr="00203A18">
              <w:rPr>
                <w:rStyle w:val="Hyperlink"/>
                <w:noProof/>
              </w:rPr>
              <w:t>Accountability for contract disclosure</w:t>
            </w:r>
            <w:r>
              <w:rPr>
                <w:noProof/>
                <w:webHidden/>
              </w:rPr>
              <w:tab/>
            </w:r>
            <w:r>
              <w:rPr>
                <w:noProof/>
                <w:webHidden/>
              </w:rPr>
              <w:fldChar w:fldCharType="begin"/>
            </w:r>
            <w:r>
              <w:rPr>
                <w:noProof/>
                <w:webHidden/>
              </w:rPr>
              <w:instrText xml:space="preserve"> PAGEREF _Toc228863370 \h </w:instrText>
            </w:r>
            <w:r>
              <w:rPr>
                <w:noProof/>
                <w:webHidden/>
              </w:rPr>
            </w:r>
            <w:r>
              <w:rPr>
                <w:noProof/>
                <w:webHidden/>
              </w:rPr>
              <w:fldChar w:fldCharType="separate"/>
            </w:r>
            <w:r w:rsidR="00E2563C">
              <w:rPr>
                <w:noProof/>
                <w:webHidden/>
              </w:rPr>
              <w:t>13</w:t>
            </w:r>
            <w:r>
              <w:rPr>
                <w:noProof/>
                <w:webHidden/>
              </w:rPr>
              <w:fldChar w:fldCharType="end"/>
            </w:r>
          </w:hyperlink>
        </w:p>
        <w:p w14:paraId="45F02CBD" w14:textId="6EE267E2" w:rsidR="001A752A" w:rsidRDefault="001A752A">
          <w:pPr>
            <w:pStyle w:val="TOC1"/>
            <w:tabs>
              <w:tab w:val="right" w:leader="dot" w:pos="10478"/>
            </w:tabs>
            <w:rPr>
              <w:rFonts w:asciiTheme="minorHAnsi" w:hAnsiTheme="minorHAnsi"/>
              <w:noProof/>
              <w:kern w:val="2"/>
              <w:sz w:val="24"/>
              <w:lang w:eastAsia="en-AU"/>
              <w14:ligatures w14:val="standardContextual"/>
            </w:rPr>
          </w:pPr>
          <w:hyperlink w:anchor="_Toc228863371" w:history="1">
            <w:r w:rsidRPr="00203A18">
              <w:rPr>
                <w:rStyle w:val="Hyperlink"/>
                <w:noProof/>
              </w:rPr>
              <w:t>Appendix 1: Contract file technical requirements</w:t>
            </w:r>
            <w:r>
              <w:rPr>
                <w:noProof/>
                <w:webHidden/>
              </w:rPr>
              <w:tab/>
            </w:r>
            <w:r>
              <w:rPr>
                <w:noProof/>
                <w:webHidden/>
              </w:rPr>
              <w:fldChar w:fldCharType="begin"/>
            </w:r>
            <w:r>
              <w:rPr>
                <w:noProof/>
                <w:webHidden/>
              </w:rPr>
              <w:instrText xml:space="preserve"> PAGEREF _Toc228863371 \h </w:instrText>
            </w:r>
            <w:r>
              <w:rPr>
                <w:noProof/>
                <w:webHidden/>
              </w:rPr>
            </w:r>
            <w:r>
              <w:rPr>
                <w:noProof/>
                <w:webHidden/>
              </w:rPr>
              <w:fldChar w:fldCharType="separate"/>
            </w:r>
            <w:r w:rsidR="00E2563C">
              <w:rPr>
                <w:noProof/>
                <w:webHidden/>
              </w:rPr>
              <w:t>14</w:t>
            </w:r>
            <w:r>
              <w:rPr>
                <w:noProof/>
                <w:webHidden/>
              </w:rPr>
              <w:fldChar w:fldCharType="end"/>
            </w:r>
          </w:hyperlink>
        </w:p>
        <w:p w14:paraId="29F120A2" w14:textId="7E8DAAE8" w:rsidR="001A752A" w:rsidRDefault="001A752A">
          <w:pPr>
            <w:pStyle w:val="TOC2"/>
            <w:tabs>
              <w:tab w:val="right" w:leader="dot" w:pos="10478"/>
            </w:tabs>
            <w:rPr>
              <w:rFonts w:asciiTheme="minorHAnsi" w:hAnsiTheme="minorHAnsi"/>
              <w:noProof/>
              <w:kern w:val="2"/>
              <w:sz w:val="24"/>
              <w:lang w:eastAsia="en-AU"/>
              <w14:ligatures w14:val="standardContextual"/>
            </w:rPr>
          </w:pPr>
          <w:hyperlink w:anchor="_Toc228863372" w:history="1">
            <w:r w:rsidRPr="00203A18">
              <w:rPr>
                <w:rStyle w:val="Hyperlink"/>
                <w:noProof/>
              </w:rPr>
              <w:t>File format</w:t>
            </w:r>
            <w:r>
              <w:rPr>
                <w:noProof/>
                <w:webHidden/>
              </w:rPr>
              <w:tab/>
            </w:r>
            <w:r>
              <w:rPr>
                <w:noProof/>
                <w:webHidden/>
              </w:rPr>
              <w:fldChar w:fldCharType="begin"/>
            </w:r>
            <w:r>
              <w:rPr>
                <w:noProof/>
                <w:webHidden/>
              </w:rPr>
              <w:instrText xml:space="preserve"> PAGEREF _Toc228863372 \h </w:instrText>
            </w:r>
            <w:r>
              <w:rPr>
                <w:noProof/>
                <w:webHidden/>
              </w:rPr>
            </w:r>
            <w:r>
              <w:rPr>
                <w:noProof/>
                <w:webHidden/>
              </w:rPr>
              <w:fldChar w:fldCharType="separate"/>
            </w:r>
            <w:r w:rsidR="00E2563C">
              <w:rPr>
                <w:noProof/>
                <w:webHidden/>
              </w:rPr>
              <w:t>14</w:t>
            </w:r>
            <w:r>
              <w:rPr>
                <w:noProof/>
                <w:webHidden/>
              </w:rPr>
              <w:fldChar w:fldCharType="end"/>
            </w:r>
          </w:hyperlink>
        </w:p>
        <w:p w14:paraId="227DB5C1" w14:textId="594037F8" w:rsidR="001A752A" w:rsidRDefault="001A752A">
          <w:pPr>
            <w:pStyle w:val="TOC2"/>
            <w:tabs>
              <w:tab w:val="right" w:leader="dot" w:pos="10478"/>
            </w:tabs>
            <w:rPr>
              <w:rFonts w:asciiTheme="minorHAnsi" w:hAnsiTheme="minorHAnsi"/>
              <w:noProof/>
              <w:kern w:val="2"/>
              <w:sz w:val="24"/>
              <w:lang w:eastAsia="en-AU"/>
              <w14:ligatures w14:val="standardContextual"/>
            </w:rPr>
          </w:pPr>
          <w:hyperlink w:anchor="_Toc228863373" w:history="1">
            <w:r w:rsidRPr="00203A18">
              <w:rPr>
                <w:rStyle w:val="Hyperlink"/>
                <w:noProof/>
              </w:rPr>
              <w:t>File size limit</w:t>
            </w:r>
            <w:r>
              <w:rPr>
                <w:noProof/>
                <w:webHidden/>
              </w:rPr>
              <w:tab/>
            </w:r>
            <w:r>
              <w:rPr>
                <w:noProof/>
                <w:webHidden/>
              </w:rPr>
              <w:fldChar w:fldCharType="begin"/>
            </w:r>
            <w:r>
              <w:rPr>
                <w:noProof/>
                <w:webHidden/>
              </w:rPr>
              <w:instrText xml:space="preserve"> PAGEREF _Toc228863373 \h </w:instrText>
            </w:r>
            <w:r>
              <w:rPr>
                <w:noProof/>
                <w:webHidden/>
              </w:rPr>
            </w:r>
            <w:r>
              <w:rPr>
                <w:noProof/>
                <w:webHidden/>
              </w:rPr>
              <w:fldChar w:fldCharType="separate"/>
            </w:r>
            <w:r w:rsidR="00E2563C">
              <w:rPr>
                <w:noProof/>
                <w:webHidden/>
              </w:rPr>
              <w:t>14</w:t>
            </w:r>
            <w:r>
              <w:rPr>
                <w:noProof/>
                <w:webHidden/>
              </w:rPr>
              <w:fldChar w:fldCharType="end"/>
            </w:r>
          </w:hyperlink>
        </w:p>
        <w:p w14:paraId="4BB26ADB" w14:textId="700FEEC2" w:rsidR="001A752A" w:rsidRDefault="001A752A">
          <w:pPr>
            <w:pStyle w:val="TOC2"/>
            <w:tabs>
              <w:tab w:val="right" w:leader="dot" w:pos="10478"/>
            </w:tabs>
            <w:rPr>
              <w:rFonts w:asciiTheme="minorHAnsi" w:hAnsiTheme="minorHAnsi"/>
              <w:noProof/>
              <w:kern w:val="2"/>
              <w:sz w:val="24"/>
              <w:lang w:eastAsia="en-AU"/>
              <w14:ligatures w14:val="standardContextual"/>
            </w:rPr>
          </w:pPr>
          <w:hyperlink w:anchor="_Toc228863374" w:history="1">
            <w:r w:rsidRPr="00203A18">
              <w:rPr>
                <w:rStyle w:val="Hyperlink"/>
                <w:noProof/>
              </w:rPr>
              <w:t>File naming convention</w:t>
            </w:r>
            <w:r>
              <w:rPr>
                <w:noProof/>
                <w:webHidden/>
              </w:rPr>
              <w:tab/>
            </w:r>
            <w:r>
              <w:rPr>
                <w:noProof/>
                <w:webHidden/>
              </w:rPr>
              <w:fldChar w:fldCharType="begin"/>
            </w:r>
            <w:r>
              <w:rPr>
                <w:noProof/>
                <w:webHidden/>
              </w:rPr>
              <w:instrText xml:space="preserve"> PAGEREF _Toc228863374 \h </w:instrText>
            </w:r>
            <w:r>
              <w:rPr>
                <w:noProof/>
                <w:webHidden/>
              </w:rPr>
            </w:r>
            <w:r>
              <w:rPr>
                <w:noProof/>
                <w:webHidden/>
              </w:rPr>
              <w:fldChar w:fldCharType="separate"/>
            </w:r>
            <w:r w:rsidR="00E2563C">
              <w:rPr>
                <w:noProof/>
                <w:webHidden/>
              </w:rPr>
              <w:t>14</w:t>
            </w:r>
            <w:r>
              <w:rPr>
                <w:noProof/>
                <w:webHidden/>
              </w:rPr>
              <w:fldChar w:fldCharType="end"/>
            </w:r>
          </w:hyperlink>
        </w:p>
        <w:p w14:paraId="16BA20D0" w14:textId="0717469F" w:rsidR="001A752A" w:rsidRDefault="001A752A">
          <w:pPr>
            <w:pStyle w:val="TOC2"/>
            <w:tabs>
              <w:tab w:val="right" w:leader="dot" w:pos="10478"/>
            </w:tabs>
            <w:rPr>
              <w:rFonts w:asciiTheme="minorHAnsi" w:hAnsiTheme="minorHAnsi"/>
              <w:noProof/>
              <w:kern w:val="2"/>
              <w:sz w:val="24"/>
              <w:lang w:eastAsia="en-AU"/>
              <w14:ligatures w14:val="standardContextual"/>
            </w:rPr>
          </w:pPr>
          <w:hyperlink w:anchor="_Toc228863375" w:history="1">
            <w:r w:rsidRPr="00203A18">
              <w:rPr>
                <w:rStyle w:val="Hyperlink"/>
                <w:noProof/>
              </w:rPr>
              <w:t>Dataset write mode</w:t>
            </w:r>
            <w:r>
              <w:rPr>
                <w:noProof/>
                <w:webHidden/>
              </w:rPr>
              <w:tab/>
            </w:r>
            <w:r>
              <w:rPr>
                <w:noProof/>
                <w:webHidden/>
              </w:rPr>
              <w:fldChar w:fldCharType="begin"/>
            </w:r>
            <w:r>
              <w:rPr>
                <w:noProof/>
                <w:webHidden/>
              </w:rPr>
              <w:instrText xml:space="preserve"> PAGEREF _Toc228863375 \h </w:instrText>
            </w:r>
            <w:r>
              <w:rPr>
                <w:noProof/>
                <w:webHidden/>
              </w:rPr>
            </w:r>
            <w:r>
              <w:rPr>
                <w:noProof/>
                <w:webHidden/>
              </w:rPr>
              <w:fldChar w:fldCharType="separate"/>
            </w:r>
            <w:r w:rsidR="00E2563C">
              <w:rPr>
                <w:noProof/>
                <w:webHidden/>
              </w:rPr>
              <w:t>14</w:t>
            </w:r>
            <w:r>
              <w:rPr>
                <w:noProof/>
                <w:webHidden/>
              </w:rPr>
              <w:fldChar w:fldCharType="end"/>
            </w:r>
          </w:hyperlink>
        </w:p>
        <w:p w14:paraId="7D898973" w14:textId="5F727EA5" w:rsidR="001A752A" w:rsidRDefault="001A752A">
          <w:pPr>
            <w:pStyle w:val="TOC2"/>
            <w:tabs>
              <w:tab w:val="right" w:leader="dot" w:pos="10478"/>
            </w:tabs>
            <w:rPr>
              <w:rFonts w:asciiTheme="minorHAnsi" w:hAnsiTheme="minorHAnsi"/>
              <w:noProof/>
              <w:kern w:val="2"/>
              <w:sz w:val="24"/>
              <w:lang w:eastAsia="en-AU"/>
              <w14:ligatures w14:val="standardContextual"/>
            </w:rPr>
          </w:pPr>
          <w:hyperlink w:anchor="_Toc228863376" w:history="1">
            <w:r w:rsidRPr="00203A18">
              <w:rPr>
                <w:rStyle w:val="Hyperlink"/>
                <w:noProof/>
              </w:rPr>
              <w:t>Upload frequency</w:t>
            </w:r>
            <w:r>
              <w:rPr>
                <w:noProof/>
                <w:webHidden/>
              </w:rPr>
              <w:tab/>
            </w:r>
            <w:r>
              <w:rPr>
                <w:noProof/>
                <w:webHidden/>
              </w:rPr>
              <w:fldChar w:fldCharType="begin"/>
            </w:r>
            <w:r>
              <w:rPr>
                <w:noProof/>
                <w:webHidden/>
              </w:rPr>
              <w:instrText xml:space="preserve"> PAGEREF _Toc228863376 \h </w:instrText>
            </w:r>
            <w:r>
              <w:rPr>
                <w:noProof/>
                <w:webHidden/>
              </w:rPr>
            </w:r>
            <w:r>
              <w:rPr>
                <w:noProof/>
                <w:webHidden/>
              </w:rPr>
              <w:fldChar w:fldCharType="separate"/>
            </w:r>
            <w:r w:rsidR="00E2563C">
              <w:rPr>
                <w:noProof/>
                <w:webHidden/>
              </w:rPr>
              <w:t>14</w:t>
            </w:r>
            <w:r>
              <w:rPr>
                <w:noProof/>
                <w:webHidden/>
              </w:rPr>
              <w:fldChar w:fldCharType="end"/>
            </w:r>
          </w:hyperlink>
        </w:p>
        <w:p w14:paraId="206B0255" w14:textId="0ABB43B6" w:rsidR="001A752A" w:rsidRDefault="001A752A">
          <w:pPr>
            <w:pStyle w:val="TOC2"/>
            <w:tabs>
              <w:tab w:val="right" w:leader="dot" w:pos="10478"/>
            </w:tabs>
            <w:rPr>
              <w:rFonts w:asciiTheme="minorHAnsi" w:hAnsiTheme="minorHAnsi"/>
              <w:noProof/>
              <w:kern w:val="2"/>
              <w:sz w:val="24"/>
              <w:lang w:eastAsia="en-AU"/>
              <w14:ligatures w14:val="standardContextual"/>
            </w:rPr>
          </w:pPr>
          <w:hyperlink w:anchor="_Toc228863377" w:history="1">
            <w:r w:rsidRPr="00203A18">
              <w:rPr>
                <w:rStyle w:val="Hyperlink"/>
                <w:noProof/>
              </w:rPr>
              <w:t>Open data tag/group</w:t>
            </w:r>
            <w:r>
              <w:rPr>
                <w:noProof/>
                <w:webHidden/>
              </w:rPr>
              <w:tab/>
            </w:r>
            <w:r>
              <w:rPr>
                <w:noProof/>
                <w:webHidden/>
              </w:rPr>
              <w:fldChar w:fldCharType="begin"/>
            </w:r>
            <w:r>
              <w:rPr>
                <w:noProof/>
                <w:webHidden/>
              </w:rPr>
              <w:instrText xml:space="preserve"> PAGEREF _Toc228863377 \h </w:instrText>
            </w:r>
            <w:r>
              <w:rPr>
                <w:noProof/>
                <w:webHidden/>
              </w:rPr>
            </w:r>
            <w:r>
              <w:rPr>
                <w:noProof/>
                <w:webHidden/>
              </w:rPr>
              <w:fldChar w:fldCharType="separate"/>
            </w:r>
            <w:r w:rsidR="00E2563C">
              <w:rPr>
                <w:noProof/>
                <w:webHidden/>
              </w:rPr>
              <w:t>14</w:t>
            </w:r>
            <w:r>
              <w:rPr>
                <w:noProof/>
                <w:webHidden/>
              </w:rPr>
              <w:fldChar w:fldCharType="end"/>
            </w:r>
          </w:hyperlink>
        </w:p>
        <w:p w14:paraId="44452C9A" w14:textId="14CCA9FC" w:rsidR="001A752A" w:rsidRDefault="001A752A">
          <w:pPr>
            <w:pStyle w:val="TOC2"/>
            <w:tabs>
              <w:tab w:val="right" w:leader="dot" w:pos="10478"/>
            </w:tabs>
            <w:rPr>
              <w:rFonts w:asciiTheme="minorHAnsi" w:hAnsiTheme="minorHAnsi"/>
              <w:noProof/>
              <w:kern w:val="2"/>
              <w:sz w:val="24"/>
              <w:lang w:eastAsia="en-AU"/>
              <w14:ligatures w14:val="standardContextual"/>
            </w:rPr>
          </w:pPr>
          <w:hyperlink w:anchor="_Toc228863378" w:history="1">
            <w:r w:rsidRPr="00203A18">
              <w:rPr>
                <w:rStyle w:val="Hyperlink"/>
                <w:noProof/>
              </w:rPr>
              <w:t>Dataset custodian</w:t>
            </w:r>
            <w:r>
              <w:rPr>
                <w:noProof/>
                <w:webHidden/>
              </w:rPr>
              <w:tab/>
            </w:r>
            <w:r>
              <w:rPr>
                <w:noProof/>
                <w:webHidden/>
              </w:rPr>
              <w:fldChar w:fldCharType="begin"/>
            </w:r>
            <w:r>
              <w:rPr>
                <w:noProof/>
                <w:webHidden/>
              </w:rPr>
              <w:instrText xml:space="preserve"> PAGEREF _Toc228863378 \h </w:instrText>
            </w:r>
            <w:r>
              <w:rPr>
                <w:noProof/>
                <w:webHidden/>
              </w:rPr>
            </w:r>
            <w:r>
              <w:rPr>
                <w:noProof/>
                <w:webHidden/>
              </w:rPr>
              <w:fldChar w:fldCharType="separate"/>
            </w:r>
            <w:r w:rsidR="00E2563C">
              <w:rPr>
                <w:noProof/>
                <w:webHidden/>
              </w:rPr>
              <w:t>14</w:t>
            </w:r>
            <w:r>
              <w:rPr>
                <w:noProof/>
                <w:webHidden/>
              </w:rPr>
              <w:fldChar w:fldCharType="end"/>
            </w:r>
          </w:hyperlink>
        </w:p>
        <w:p w14:paraId="2CCCF2DA" w14:textId="00516F09" w:rsidR="001A752A" w:rsidRDefault="001A752A">
          <w:pPr>
            <w:pStyle w:val="TOC2"/>
            <w:tabs>
              <w:tab w:val="right" w:leader="dot" w:pos="10478"/>
            </w:tabs>
            <w:rPr>
              <w:rFonts w:asciiTheme="minorHAnsi" w:hAnsiTheme="minorHAnsi"/>
              <w:noProof/>
              <w:kern w:val="2"/>
              <w:sz w:val="24"/>
              <w:lang w:eastAsia="en-AU"/>
              <w14:ligatures w14:val="standardContextual"/>
            </w:rPr>
          </w:pPr>
          <w:hyperlink w:anchor="_Toc228863379" w:history="1">
            <w:r w:rsidRPr="00203A18">
              <w:rPr>
                <w:rStyle w:val="Hyperlink"/>
                <w:noProof/>
              </w:rPr>
              <w:t>Information classification</w:t>
            </w:r>
            <w:r>
              <w:rPr>
                <w:noProof/>
                <w:webHidden/>
              </w:rPr>
              <w:tab/>
            </w:r>
            <w:r>
              <w:rPr>
                <w:noProof/>
                <w:webHidden/>
              </w:rPr>
              <w:fldChar w:fldCharType="begin"/>
            </w:r>
            <w:r>
              <w:rPr>
                <w:noProof/>
                <w:webHidden/>
              </w:rPr>
              <w:instrText xml:space="preserve"> PAGEREF _Toc228863379 \h </w:instrText>
            </w:r>
            <w:r>
              <w:rPr>
                <w:noProof/>
                <w:webHidden/>
              </w:rPr>
            </w:r>
            <w:r>
              <w:rPr>
                <w:noProof/>
                <w:webHidden/>
              </w:rPr>
              <w:fldChar w:fldCharType="separate"/>
            </w:r>
            <w:r w:rsidR="00E2563C">
              <w:rPr>
                <w:noProof/>
                <w:webHidden/>
              </w:rPr>
              <w:t>14</w:t>
            </w:r>
            <w:r>
              <w:rPr>
                <w:noProof/>
                <w:webHidden/>
              </w:rPr>
              <w:fldChar w:fldCharType="end"/>
            </w:r>
          </w:hyperlink>
        </w:p>
        <w:p w14:paraId="4D8D660B" w14:textId="332BA85E" w:rsidR="001A752A" w:rsidRDefault="001A752A">
          <w:pPr>
            <w:pStyle w:val="TOC2"/>
            <w:tabs>
              <w:tab w:val="right" w:leader="dot" w:pos="10478"/>
            </w:tabs>
            <w:rPr>
              <w:rFonts w:asciiTheme="minorHAnsi" w:hAnsiTheme="minorHAnsi"/>
              <w:noProof/>
              <w:kern w:val="2"/>
              <w:sz w:val="24"/>
              <w:lang w:eastAsia="en-AU"/>
              <w14:ligatures w14:val="standardContextual"/>
            </w:rPr>
          </w:pPr>
          <w:hyperlink w:anchor="_Toc228863380" w:history="1">
            <w:r w:rsidRPr="00203A18">
              <w:rPr>
                <w:rStyle w:val="Hyperlink"/>
                <w:noProof/>
              </w:rPr>
              <w:t>Formatting</w:t>
            </w:r>
            <w:r>
              <w:rPr>
                <w:noProof/>
                <w:webHidden/>
              </w:rPr>
              <w:tab/>
            </w:r>
            <w:r>
              <w:rPr>
                <w:noProof/>
                <w:webHidden/>
              </w:rPr>
              <w:fldChar w:fldCharType="begin"/>
            </w:r>
            <w:r>
              <w:rPr>
                <w:noProof/>
                <w:webHidden/>
              </w:rPr>
              <w:instrText xml:space="preserve"> PAGEREF _Toc228863380 \h </w:instrText>
            </w:r>
            <w:r>
              <w:rPr>
                <w:noProof/>
                <w:webHidden/>
              </w:rPr>
            </w:r>
            <w:r>
              <w:rPr>
                <w:noProof/>
                <w:webHidden/>
              </w:rPr>
              <w:fldChar w:fldCharType="separate"/>
            </w:r>
            <w:r w:rsidR="00E2563C">
              <w:rPr>
                <w:noProof/>
                <w:webHidden/>
              </w:rPr>
              <w:t>14</w:t>
            </w:r>
            <w:r>
              <w:rPr>
                <w:noProof/>
                <w:webHidden/>
              </w:rPr>
              <w:fldChar w:fldCharType="end"/>
            </w:r>
          </w:hyperlink>
        </w:p>
        <w:p w14:paraId="44908D76" w14:textId="2F5509AB" w:rsidR="001A752A" w:rsidRDefault="001A752A">
          <w:pPr>
            <w:pStyle w:val="TOC2"/>
            <w:tabs>
              <w:tab w:val="right" w:leader="dot" w:pos="10478"/>
            </w:tabs>
            <w:rPr>
              <w:rFonts w:asciiTheme="minorHAnsi" w:hAnsiTheme="minorHAnsi"/>
              <w:noProof/>
              <w:kern w:val="2"/>
              <w:sz w:val="24"/>
              <w:lang w:eastAsia="en-AU"/>
              <w14:ligatures w14:val="standardContextual"/>
            </w:rPr>
          </w:pPr>
          <w:hyperlink w:anchor="_Toc228863381" w:history="1">
            <w:r w:rsidRPr="00203A18">
              <w:rPr>
                <w:rStyle w:val="Hyperlink"/>
                <w:noProof/>
              </w:rPr>
              <w:t>Supporting resources</w:t>
            </w:r>
            <w:r>
              <w:rPr>
                <w:noProof/>
                <w:webHidden/>
              </w:rPr>
              <w:tab/>
            </w:r>
            <w:r>
              <w:rPr>
                <w:noProof/>
                <w:webHidden/>
              </w:rPr>
              <w:fldChar w:fldCharType="begin"/>
            </w:r>
            <w:r>
              <w:rPr>
                <w:noProof/>
                <w:webHidden/>
              </w:rPr>
              <w:instrText xml:space="preserve"> PAGEREF _Toc228863381 \h </w:instrText>
            </w:r>
            <w:r>
              <w:rPr>
                <w:noProof/>
                <w:webHidden/>
              </w:rPr>
            </w:r>
            <w:r>
              <w:rPr>
                <w:noProof/>
                <w:webHidden/>
              </w:rPr>
              <w:fldChar w:fldCharType="separate"/>
            </w:r>
            <w:r w:rsidR="00E2563C">
              <w:rPr>
                <w:noProof/>
                <w:webHidden/>
              </w:rPr>
              <w:t>15</w:t>
            </w:r>
            <w:r>
              <w:rPr>
                <w:noProof/>
                <w:webHidden/>
              </w:rPr>
              <w:fldChar w:fldCharType="end"/>
            </w:r>
          </w:hyperlink>
        </w:p>
        <w:p w14:paraId="1A10841F" w14:textId="788FBD0F" w:rsidR="0025085D" w:rsidRDefault="0025085D">
          <w:r>
            <w:rPr>
              <w:b/>
              <w:bCs/>
              <w:noProof/>
            </w:rPr>
            <w:fldChar w:fldCharType="end"/>
          </w:r>
        </w:p>
      </w:sdtContent>
    </w:sdt>
    <w:p w14:paraId="06A94972" w14:textId="77777777" w:rsidR="0025085D" w:rsidRDefault="0025085D">
      <w:pPr>
        <w:spacing w:line="259" w:lineRule="auto"/>
        <w:rPr>
          <w:rFonts w:ascii="Arial Nova Light" w:eastAsiaTheme="majorEastAsia" w:hAnsi="Arial Nova Light" w:cstheme="majorBidi"/>
          <w:color w:val="09549F"/>
          <w:sz w:val="36"/>
          <w:szCs w:val="32"/>
        </w:rPr>
      </w:pPr>
      <w:r>
        <w:br w:type="page"/>
      </w:r>
    </w:p>
    <w:p w14:paraId="27734606" w14:textId="77777777" w:rsidR="0025085D" w:rsidRDefault="0025085D" w:rsidP="00653BA5">
      <w:pPr>
        <w:pStyle w:val="Heading1"/>
      </w:pPr>
      <w:bookmarkStart w:id="1" w:name="_Toc228863359"/>
      <w:r>
        <w:lastRenderedPageBreak/>
        <w:t>Purpose</w:t>
      </w:r>
      <w:bookmarkEnd w:id="1"/>
    </w:p>
    <w:p w14:paraId="0C522315" w14:textId="31C24213" w:rsidR="0025085D" w:rsidRPr="00676103" w:rsidRDefault="0025085D" w:rsidP="00676103">
      <w:r>
        <w:t xml:space="preserve">This guide aims to support anyone who is involved in disclosing procurement contracts to do so in a clear, consistent and transparent manner consistent with the </w:t>
      </w:r>
      <w:hyperlink r:id="rId14" w:history="1">
        <w:r w:rsidRPr="00781DA5">
          <w:rPr>
            <w:rStyle w:val="Hyperlink"/>
            <w:i/>
            <w:iCs/>
          </w:rPr>
          <w:t>Queensland Procurement Policy 2026</w:t>
        </w:r>
      </w:hyperlink>
      <w:r>
        <w:rPr>
          <w:i/>
          <w:iCs/>
        </w:rPr>
        <w:t xml:space="preserve"> </w:t>
      </w:r>
      <w:r>
        <w:t>(QPP</w:t>
      </w:r>
      <w:r w:rsidR="002844D9">
        <w:t xml:space="preserve"> 2026</w:t>
      </w:r>
      <w:r>
        <w:t>).</w:t>
      </w:r>
    </w:p>
    <w:p w14:paraId="46189A5F" w14:textId="77777777" w:rsidR="0025085D" w:rsidRDefault="0025085D" w:rsidP="00653BA5">
      <w:pPr>
        <w:pStyle w:val="Heading1"/>
      </w:pPr>
      <w:bookmarkStart w:id="2" w:name="_Toc228863360"/>
      <w:r>
        <w:t>How to use this guide?</w:t>
      </w:r>
      <w:bookmarkEnd w:id="2"/>
    </w:p>
    <w:p w14:paraId="7671D451" w14:textId="6F5D4BFF" w:rsidR="00175D56" w:rsidRPr="00175D56" w:rsidRDefault="00175D56" w:rsidP="00175D56">
      <w:r w:rsidRPr="00175D56">
        <w:t>Please read this guide in conjunction with, and apply subject to, your </w:t>
      </w:r>
      <w:r w:rsidRPr="00175D56">
        <w:rPr>
          <w:b/>
          <w:bCs/>
        </w:rPr>
        <w:t>agency’s procurement policies and procedures, category-specific guidance and templates, whole-of-government procurement guides and the</w:t>
      </w:r>
      <w:r w:rsidR="00A51104">
        <w:rPr>
          <w:b/>
          <w:bCs/>
        </w:rPr>
        <w:t xml:space="preserve"> QPP 2026</w:t>
      </w:r>
      <w:r w:rsidRPr="00175D56">
        <w:rPr>
          <w:b/>
          <w:bCs/>
        </w:rPr>
        <w:t>.</w:t>
      </w:r>
      <w:r w:rsidRPr="00175D56">
        <w:t> </w:t>
      </w:r>
    </w:p>
    <w:tbl>
      <w:tblPr>
        <w:tblStyle w:val="TableGrid"/>
        <w:tblW w:w="5000" w:type="pct"/>
        <w:tblLook w:val="04A0" w:firstRow="1" w:lastRow="0" w:firstColumn="1" w:lastColumn="0" w:noHBand="0" w:noVBand="1"/>
      </w:tblPr>
      <w:tblGrid>
        <w:gridCol w:w="10478"/>
      </w:tblGrid>
      <w:tr w:rsidR="00175D56" w:rsidRPr="00E50CB1" w14:paraId="05CD42FA" w14:textId="77777777" w:rsidTr="0086010F">
        <w:trPr>
          <w:trHeight w:val="454"/>
        </w:trPr>
        <w:tc>
          <w:tcPr>
            <w:tcW w:w="5000" w:type="pct"/>
            <w:shd w:val="clear" w:color="auto" w:fill="7F7F7F" w:themeFill="accent1" w:themeFillTint="80"/>
            <w:vAlign w:val="center"/>
          </w:tcPr>
          <w:p w14:paraId="27D73306" w14:textId="77777777" w:rsidR="00175D56" w:rsidRPr="00E50CB1" w:rsidRDefault="00175D56" w:rsidP="0086010F">
            <w:pPr>
              <w:spacing w:after="0"/>
              <w:rPr>
                <w:b/>
                <w:bCs/>
                <w:color w:val="FFFFFF" w:themeColor="background1"/>
              </w:rPr>
            </w:pPr>
            <w:r>
              <w:rPr>
                <w:b/>
                <w:bCs/>
                <w:color w:val="FFFFFF" w:themeColor="background1"/>
              </w:rPr>
              <w:t>Important</w:t>
            </w:r>
          </w:p>
        </w:tc>
      </w:tr>
      <w:tr w:rsidR="00175D56" w:rsidRPr="007E7200" w14:paraId="4450AAB4" w14:textId="77777777" w:rsidTr="0086010F">
        <w:trPr>
          <w:trHeight w:val="371"/>
        </w:trPr>
        <w:tc>
          <w:tcPr>
            <w:tcW w:w="5000" w:type="pct"/>
            <w:vAlign w:val="center"/>
          </w:tcPr>
          <w:p w14:paraId="66C4EB74" w14:textId="77777777" w:rsidR="00CD1ABA" w:rsidRDefault="00CD1ABA" w:rsidP="003A5AF1">
            <w:pPr>
              <w:spacing w:before="120"/>
            </w:pPr>
            <w:r>
              <w:t>This guide is intended to provide general guidance that is applicable to all categories of goods and/or services, acknowledging there may be procedural nuances specific to categories and agencies. It will flag key steps and considerations related to contract disclosure and reference other procurement guidance materials where necessary.</w:t>
            </w:r>
          </w:p>
          <w:p w14:paraId="2E8F2379" w14:textId="3C4595F1" w:rsidR="00175D56" w:rsidRPr="007E7200" w:rsidRDefault="00CD1ABA" w:rsidP="003A5AF1">
            <w:r>
              <w:t xml:space="preserve">Technical information on the mechanics of contract disclosure is intended to supplement this aim and has been consolidated from the former </w:t>
            </w:r>
            <w:r w:rsidRPr="006A1541">
              <w:rPr>
                <w:i/>
                <w:iCs/>
              </w:rPr>
              <w:t>Open data portal publishing user manual for contract disclosure</w:t>
            </w:r>
            <w:r>
              <w:t>.</w:t>
            </w:r>
          </w:p>
        </w:tc>
      </w:tr>
    </w:tbl>
    <w:p w14:paraId="5801002F" w14:textId="77777777" w:rsidR="0025085D" w:rsidRDefault="0025085D" w:rsidP="00653BA5">
      <w:pPr>
        <w:pStyle w:val="Heading1"/>
      </w:pPr>
      <w:bookmarkStart w:id="3" w:name="_Toc228863361"/>
      <w:r>
        <w:t>Contract disclosure</w:t>
      </w:r>
      <w:bookmarkEnd w:id="3"/>
    </w:p>
    <w:p w14:paraId="3970E00B" w14:textId="421BEAE3" w:rsidR="0025085D" w:rsidRDefault="0025085D" w:rsidP="009144A1">
      <w:r>
        <w:t>Budget sector agencies and statutory bodies must publish minimum details for awarded contracts valued at $10,000 (including GST) and above</w:t>
      </w:r>
      <w:r w:rsidR="00F22D4D">
        <w:t xml:space="preserve"> on the </w:t>
      </w:r>
      <w:hyperlink r:id="rId15" w:history="1">
        <w:r w:rsidR="00F22D4D">
          <w:rPr>
            <w:rStyle w:val="Hyperlink"/>
          </w:rPr>
          <w:t>Queensland Government O</w:t>
        </w:r>
        <w:r w:rsidR="00F22D4D" w:rsidRPr="002E5D5A">
          <w:rPr>
            <w:rStyle w:val="Hyperlink"/>
          </w:rPr>
          <w:t>pen Data Portal</w:t>
        </w:r>
      </w:hyperlink>
      <w:r>
        <w:t xml:space="preserve">. Please note that the higher the contract value, </w:t>
      </w:r>
      <w:r w:rsidR="00F13126">
        <w:t>the</w:t>
      </w:r>
      <w:r>
        <w:t xml:space="preserve"> more details must be published. </w:t>
      </w:r>
    </w:p>
    <w:tbl>
      <w:tblPr>
        <w:tblStyle w:val="TableGrid"/>
        <w:tblW w:w="5000" w:type="pct"/>
        <w:tblLook w:val="04A0" w:firstRow="1" w:lastRow="0" w:firstColumn="1" w:lastColumn="0" w:noHBand="0" w:noVBand="1"/>
      </w:tblPr>
      <w:tblGrid>
        <w:gridCol w:w="10478"/>
      </w:tblGrid>
      <w:tr w:rsidR="000614F2" w:rsidRPr="00E50CB1" w14:paraId="07EF49DD" w14:textId="77777777" w:rsidTr="003A5AF1">
        <w:trPr>
          <w:trHeight w:val="454"/>
        </w:trPr>
        <w:tc>
          <w:tcPr>
            <w:tcW w:w="5000" w:type="pct"/>
            <w:shd w:val="clear" w:color="auto" w:fill="7F7F7F" w:themeFill="accent1" w:themeFillTint="80"/>
            <w:vAlign w:val="center"/>
          </w:tcPr>
          <w:p w14:paraId="7967387F" w14:textId="618CD091" w:rsidR="000614F2" w:rsidRPr="00E50CB1" w:rsidRDefault="00117560" w:rsidP="003A5AF1">
            <w:pPr>
              <w:spacing w:after="0"/>
              <w:rPr>
                <w:b/>
                <w:bCs/>
                <w:color w:val="FFFFFF" w:themeColor="background1"/>
              </w:rPr>
            </w:pPr>
            <w:r>
              <w:rPr>
                <w:b/>
                <w:bCs/>
                <w:color w:val="FFFFFF" w:themeColor="background1"/>
              </w:rPr>
              <w:t>Important</w:t>
            </w:r>
          </w:p>
        </w:tc>
      </w:tr>
      <w:tr w:rsidR="000614F2" w:rsidRPr="007E7200" w14:paraId="07B4FB3C" w14:textId="77777777" w:rsidTr="0086010F">
        <w:trPr>
          <w:trHeight w:val="371"/>
        </w:trPr>
        <w:tc>
          <w:tcPr>
            <w:tcW w:w="5000" w:type="pct"/>
            <w:vAlign w:val="center"/>
          </w:tcPr>
          <w:p w14:paraId="0DAB825E" w14:textId="1EFB8B53" w:rsidR="001F6AE5" w:rsidRPr="007E7200" w:rsidRDefault="00117560" w:rsidP="003A5AF1">
            <w:pPr>
              <w:spacing w:before="120"/>
            </w:pPr>
            <w:r>
              <w:t xml:space="preserve">Refer to </w:t>
            </w:r>
            <w:hyperlink r:id="rId16" w:history="1">
              <w:r w:rsidRPr="002844D9">
                <w:rPr>
                  <w:rStyle w:val="Hyperlink"/>
                </w:rPr>
                <w:t>Rule 28 of the QPP 2026</w:t>
              </w:r>
            </w:hyperlink>
            <w:r>
              <w:t xml:space="preserve"> </w:t>
            </w:r>
            <w:r w:rsidR="008A0C5F">
              <w:t>for minimum details and value thresholds for contract disclosure.</w:t>
            </w:r>
          </w:p>
        </w:tc>
      </w:tr>
    </w:tbl>
    <w:p w14:paraId="252E27B6" w14:textId="77777777" w:rsidR="0025085D" w:rsidRDefault="0025085D" w:rsidP="003A5AF1">
      <w:pPr>
        <w:spacing w:before="120"/>
      </w:pPr>
      <w:r>
        <w:t>Disclosing details of awarded contracts demonstrates the Queensland Government’s commitment to upholding a culture of ethics, integrity, probity and accountability, respecting the trust of all stakeholders including suppliers and the community.</w:t>
      </w:r>
    </w:p>
    <w:p w14:paraId="4502A8C1" w14:textId="77777777" w:rsidR="0025085D" w:rsidRDefault="0025085D" w:rsidP="009144A1">
      <w:r>
        <w:t>When making a disclosure, it is important to ensure information disclosed is appropriate for release into the public domain. This includes identifying and removing any personal information, and any information which would be, on balance, not in the public interest to disclose.</w:t>
      </w:r>
    </w:p>
    <w:p w14:paraId="1210BCDF" w14:textId="77777777" w:rsidR="0025085D" w:rsidRDefault="0025085D" w:rsidP="009144A1">
      <w:r>
        <w:t>You should note that information provided as part of contract disclosure could be used as part of a false billing scam, so it is important that your agency has robust internal controls to help identify any scam invoices that may be submitted. This should include checking:</w:t>
      </w:r>
    </w:p>
    <w:p w14:paraId="272A78CD" w14:textId="77777777" w:rsidR="0025085D" w:rsidRDefault="0025085D" w:rsidP="0025085D">
      <w:pPr>
        <w:pStyle w:val="ListParagraph"/>
        <w:numPr>
          <w:ilvl w:val="0"/>
          <w:numId w:val="23"/>
        </w:numPr>
        <w:tabs>
          <w:tab w:val="clear" w:pos="2835"/>
        </w:tabs>
        <w:spacing w:after="60"/>
      </w:pPr>
      <w:r>
        <w:t>the registered name ABN/ACN and address on the invoice to ensure they are correct</w:t>
      </w:r>
    </w:p>
    <w:p w14:paraId="23691662" w14:textId="77777777" w:rsidR="0025085D" w:rsidRDefault="0025085D" w:rsidP="0025085D">
      <w:pPr>
        <w:pStyle w:val="ListParagraph"/>
        <w:numPr>
          <w:ilvl w:val="0"/>
          <w:numId w:val="23"/>
        </w:numPr>
        <w:tabs>
          <w:tab w:val="clear" w:pos="2835"/>
        </w:tabs>
        <w:spacing w:after="60"/>
      </w:pPr>
      <w:r>
        <w:t>the date and other details on the invoice (e.g. purchase order number) to see if it corresponds to the order placed</w:t>
      </w:r>
    </w:p>
    <w:p w14:paraId="118C7323" w14:textId="77777777" w:rsidR="0025085D" w:rsidRDefault="0025085D" w:rsidP="0025085D">
      <w:pPr>
        <w:pStyle w:val="ListParagraph"/>
        <w:numPr>
          <w:ilvl w:val="0"/>
          <w:numId w:val="23"/>
        </w:numPr>
        <w:tabs>
          <w:tab w:val="clear" w:pos="2835"/>
        </w:tabs>
        <w:spacing w:after="60"/>
      </w:pPr>
      <w:r>
        <w:t>whether the goods and/or services have been received.</w:t>
      </w:r>
    </w:p>
    <w:p w14:paraId="5429CEC5" w14:textId="77777777" w:rsidR="0025085D" w:rsidRDefault="0025085D">
      <w:pPr>
        <w:spacing w:line="259" w:lineRule="auto"/>
        <w:rPr>
          <w:rFonts w:ascii="Arial Nova Light" w:eastAsiaTheme="majorEastAsia" w:hAnsi="Arial Nova Light" w:cstheme="majorBidi"/>
          <w:color w:val="09549F"/>
          <w:sz w:val="36"/>
          <w:szCs w:val="32"/>
        </w:rPr>
      </w:pPr>
      <w:r>
        <w:br w:type="page"/>
      </w:r>
    </w:p>
    <w:p w14:paraId="62EE393A" w14:textId="2E6B2B6F" w:rsidR="0025085D" w:rsidRDefault="00B5071D" w:rsidP="00653BA5">
      <w:pPr>
        <w:pStyle w:val="Heading1"/>
      </w:pPr>
      <w:bookmarkStart w:id="4" w:name="_Toc228863362"/>
      <w:r>
        <w:lastRenderedPageBreak/>
        <w:t>P</w:t>
      </w:r>
      <w:r w:rsidR="0025085D">
        <w:t>rocess summary</w:t>
      </w:r>
      <w:bookmarkEnd w:id="4"/>
    </w:p>
    <w:p w14:paraId="681641DB" w14:textId="77777777" w:rsidR="0025085D" w:rsidRDefault="0025085D" w:rsidP="009144A1">
      <w:r w:rsidRPr="00357866">
        <w:rPr>
          <w:b/>
          <w:bCs/>
        </w:rPr>
        <w:t>Table 1</w:t>
      </w:r>
      <w:r>
        <w:t xml:space="preserve"> below summarises the key steps to publish information on: </w:t>
      </w:r>
    </w:p>
    <w:p w14:paraId="38E95BF4" w14:textId="77777777" w:rsidR="0025085D" w:rsidRDefault="0025085D" w:rsidP="0025085D">
      <w:pPr>
        <w:pStyle w:val="ListParagraph"/>
        <w:numPr>
          <w:ilvl w:val="0"/>
          <w:numId w:val="37"/>
        </w:numPr>
        <w:tabs>
          <w:tab w:val="clear" w:pos="2835"/>
        </w:tabs>
        <w:spacing w:after="60"/>
      </w:pPr>
      <w:r>
        <w:t>reportable contracts within 60 days from the contract award date; and</w:t>
      </w:r>
    </w:p>
    <w:p w14:paraId="6B7980F8" w14:textId="77777777" w:rsidR="0025085D" w:rsidRDefault="0025085D" w:rsidP="0025085D">
      <w:pPr>
        <w:pStyle w:val="ListParagraph"/>
        <w:numPr>
          <w:ilvl w:val="0"/>
          <w:numId w:val="37"/>
        </w:numPr>
        <w:tabs>
          <w:tab w:val="clear" w:pos="2835"/>
        </w:tabs>
        <w:spacing w:after="60"/>
      </w:pPr>
      <w:r>
        <w:t>material changes to reportable contracts.</w:t>
      </w:r>
    </w:p>
    <w:p w14:paraId="2F55A86D" w14:textId="77777777" w:rsidR="0025085D" w:rsidRPr="00D02CE6" w:rsidRDefault="0025085D" w:rsidP="003A5AF1">
      <w:pPr>
        <w:spacing w:before="240"/>
        <w:rPr>
          <w:sz w:val="18"/>
          <w:szCs w:val="20"/>
        </w:rPr>
      </w:pPr>
      <w:r w:rsidRPr="00D02CE6">
        <w:rPr>
          <w:b/>
          <w:bCs/>
          <w:sz w:val="18"/>
          <w:szCs w:val="20"/>
        </w:rPr>
        <w:t>Table 1:</w:t>
      </w:r>
      <w:r w:rsidRPr="00D02CE6">
        <w:rPr>
          <w:sz w:val="18"/>
          <w:szCs w:val="20"/>
        </w:rPr>
        <w:t xml:space="preserve"> Contract disclosure process summary</w:t>
      </w:r>
    </w:p>
    <w:tbl>
      <w:tblPr>
        <w:tblStyle w:val="TableGrid"/>
        <w:tblW w:w="5000" w:type="pct"/>
        <w:tblLook w:val="04A0" w:firstRow="1" w:lastRow="0" w:firstColumn="1" w:lastColumn="0" w:noHBand="0" w:noVBand="1"/>
      </w:tblPr>
      <w:tblGrid>
        <w:gridCol w:w="801"/>
        <w:gridCol w:w="9677"/>
      </w:tblGrid>
      <w:tr w:rsidR="0025085D" w14:paraId="26A1EDCC" w14:textId="77777777" w:rsidTr="003A5AF1">
        <w:trPr>
          <w:trHeight w:val="454"/>
          <w:tblHeader/>
        </w:trPr>
        <w:tc>
          <w:tcPr>
            <w:tcW w:w="382" w:type="pct"/>
            <w:shd w:val="clear" w:color="auto" w:fill="0070C0"/>
            <w:vAlign w:val="center"/>
          </w:tcPr>
          <w:p w14:paraId="042B1AAB" w14:textId="77777777" w:rsidR="0025085D" w:rsidRPr="00E50CB1" w:rsidRDefault="0025085D" w:rsidP="003A5AF1">
            <w:pPr>
              <w:spacing w:after="0"/>
              <w:jc w:val="center"/>
              <w:rPr>
                <w:b/>
                <w:bCs/>
                <w:color w:val="FFFFFF" w:themeColor="background1"/>
              </w:rPr>
            </w:pPr>
            <w:r>
              <w:rPr>
                <w:b/>
                <w:bCs/>
                <w:color w:val="FFFFFF" w:themeColor="background1"/>
              </w:rPr>
              <w:t>No.</w:t>
            </w:r>
          </w:p>
        </w:tc>
        <w:tc>
          <w:tcPr>
            <w:tcW w:w="4618" w:type="pct"/>
            <w:shd w:val="clear" w:color="auto" w:fill="0070C0"/>
            <w:vAlign w:val="center"/>
          </w:tcPr>
          <w:p w14:paraId="04AAC706" w14:textId="77777777" w:rsidR="0025085D" w:rsidRPr="00E50CB1" w:rsidRDefault="0025085D" w:rsidP="003A5AF1">
            <w:pPr>
              <w:spacing w:after="0"/>
              <w:jc w:val="center"/>
              <w:rPr>
                <w:b/>
                <w:bCs/>
                <w:color w:val="FFFFFF" w:themeColor="background1"/>
              </w:rPr>
            </w:pPr>
            <w:r>
              <w:rPr>
                <w:b/>
                <w:bCs/>
                <w:color w:val="FFFFFF" w:themeColor="background1"/>
              </w:rPr>
              <w:t>Step</w:t>
            </w:r>
          </w:p>
        </w:tc>
      </w:tr>
      <w:tr w:rsidR="0025085D" w14:paraId="48C3259E" w14:textId="77777777" w:rsidTr="0087223C">
        <w:trPr>
          <w:trHeight w:val="371"/>
        </w:trPr>
        <w:tc>
          <w:tcPr>
            <w:tcW w:w="382" w:type="pct"/>
            <w:vAlign w:val="center"/>
          </w:tcPr>
          <w:p w14:paraId="2D2C82ED" w14:textId="77777777" w:rsidR="0025085D" w:rsidRDefault="0025085D" w:rsidP="00753813">
            <w:pPr>
              <w:jc w:val="center"/>
            </w:pPr>
            <w:r>
              <w:t>1</w:t>
            </w:r>
          </w:p>
        </w:tc>
        <w:tc>
          <w:tcPr>
            <w:tcW w:w="4618" w:type="pct"/>
            <w:vAlign w:val="center"/>
          </w:tcPr>
          <w:p w14:paraId="1FA79371" w14:textId="77777777" w:rsidR="0025085D" w:rsidRPr="00FE1091" w:rsidRDefault="0025085D" w:rsidP="003A5AF1">
            <w:pPr>
              <w:spacing w:before="120"/>
            </w:pPr>
            <w:r w:rsidRPr="00FE1091">
              <w:t>Familiarise yourself with the following guidance materials:</w:t>
            </w:r>
          </w:p>
          <w:p w14:paraId="7AD02B9E" w14:textId="77777777" w:rsidR="0025085D" w:rsidRDefault="0025085D" w:rsidP="0025085D">
            <w:pPr>
              <w:pStyle w:val="ListParagraph"/>
              <w:numPr>
                <w:ilvl w:val="0"/>
                <w:numId w:val="33"/>
              </w:numPr>
              <w:tabs>
                <w:tab w:val="clear" w:pos="2835"/>
              </w:tabs>
              <w:spacing w:after="0"/>
            </w:pPr>
            <w:r>
              <w:t>this guide</w:t>
            </w:r>
          </w:p>
          <w:p w14:paraId="1F2636E0" w14:textId="298B050E" w:rsidR="0025085D" w:rsidRPr="009A202F" w:rsidRDefault="0025085D" w:rsidP="0025085D">
            <w:pPr>
              <w:pStyle w:val="ListParagraph"/>
              <w:numPr>
                <w:ilvl w:val="0"/>
                <w:numId w:val="33"/>
              </w:numPr>
              <w:tabs>
                <w:tab w:val="clear" w:pos="2835"/>
              </w:tabs>
              <w:spacing w:after="0"/>
              <w:rPr>
                <w:i/>
                <w:iCs/>
              </w:rPr>
            </w:pPr>
            <w:hyperlink r:id="rId17" w:history="1">
              <w:r w:rsidRPr="00F13126">
                <w:rPr>
                  <w:rStyle w:val="Hyperlink"/>
                  <w:i/>
                  <w:iCs/>
                </w:rPr>
                <w:t>Use and disclosure of confidentiality provisions in government contracts guide</w:t>
              </w:r>
            </w:hyperlink>
          </w:p>
          <w:p w14:paraId="1813E733" w14:textId="50B72B12" w:rsidR="0025085D" w:rsidRPr="004C37B1" w:rsidRDefault="0025085D" w:rsidP="0025085D">
            <w:pPr>
              <w:pStyle w:val="ListParagraph"/>
              <w:numPr>
                <w:ilvl w:val="0"/>
                <w:numId w:val="33"/>
              </w:numPr>
              <w:tabs>
                <w:tab w:val="clear" w:pos="2835"/>
              </w:tabs>
              <w:spacing w:after="0"/>
            </w:pPr>
            <w:hyperlink r:id="rId18" w:history="1">
              <w:r w:rsidRPr="004C37B1">
                <w:rPr>
                  <w:rStyle w:val="Hyperlink"/>
                  <w:i/>
                </w:rPr>
                <w:t>Contract disclosure publishing template</w:t>
              </w:r>
            </w:hyperlink>
            <w:r w:rsidR="00A23987" w:rsidRPr="004C37B1">
              <w:rPr>
                <w:i/>
              </w:rPr>
              <w:t>.</w:t>
            </w:r>
          </w:p>
          <w:p w14:paraId="6A8699B2" w14:textId="48359758" w:rsidR="0025085D" w:rsidRPr="00C816BA" w:rsidRDefault="0025085D" w:rsidP="003A5AF1">
            <w:pPr>
              <w:spacing w:before="120"/>
            </w:pPr>
            <w:r>
              <w:t xml:space="preserve">Ensure clauses enabling disclosure </w:t>
            </w:r>
            <w:proofErr w:type="gramStart"/>
            <w:r>
              <w:t>have</w:t>
            </w:r>
            <w:proofErr w:type="gramEnd"/>
            <w:r>
              <w:t xml:space="preserve"> been included in the contract terms and conditions</w:t>
            </w:r>
            <w:r w:rsidR="000D3862">
              <w:t>, and that these clauses are current</w:t>
            </w:r>
            <w:r w:rsidR="00A23987">
              <w:t>.</w:t>
            </w:r>
          </w:p>
        </w:tc>
      </w:tr>
      <w:tr w:rsidR="0025085D" w14:paraId="29E27516" w14:textId="77777777" w:rsidTr="0087223C">
        <w:trPr>
          <w:trHeight w:val="371"/>
        </w:trPr>
        <w:tc>
          <w:tcPr>
            <w:tcW w:w="382" w:type="pct"/>
            <w:vAlign w:val="center"/>
          </w:tcPr>
          <w:p w14:paraId="01870415" w14:textId="77777777" w:rsidR="0025085D" w:rsidRDefault="0025085D" w:rsidP="00753813">
            <w:pPr>
              <w:jc w:val="center"/>
            </w:pPr>
            <w:r>
              <w:t>2</w:t>
            </w:r>
          </w:p>
        </w:tc>
        <w:tc>
          <w:tcPr>
            <w:tcW w:w="4618" w:type="pct"/>
            <w:vAlign w:val="center"/>
          </w:tcPr>
          <w:p w14:paraId="33B43966" w14:textId="45570A97" w:rsidR="0025085D" w:rsidRDefault="0025085D" w:rsidP="003A5AF1">
            <w:pPr>
              <w:spacing w:before="120"/>
            </w:pPr>
            <w:r w:rsidRPr="00D6682D">
              <w:rPr>
                <w:b/>
                <w:bCs/>
              </w:rPr>
              <w:t>For new contracts:</w:t>
            </w:r>
            <w:r>
              <w:t xml:space="preserve"> Determine if the</w:t>
            </w:r>
            <w:r w:rsidR="00B059FE">
              <w:t xml:space="preserve"> awarded</w:t>
            </w:r>
            <w:r>
              <w:t xml:space="preserve"> contract is a ‘</w:t>
            </w:r>
            <w:hyperlink w:anchor="_Reportable_contract" w:history="1">
              <w:r w:rsidRPr="00EA1829">
                <w:rPr>
                  <w:rStyle w:val="Hyperlink"/>
                </w:rPr>
                <w:t>reportable contract</w:t>
              </w:r>
            </w:hyperlink>
            <w:r>
              <w:t>’:</w:t>
            </w:r>
          </w:p>
          <w:p w14:paraId="240AD87F" w14:textId="77777777" w:rsidR="0025085D" w:rsidRDefault="0025085D" w:rsidP="0025085D">
            <w:pPr>
              <w:pStyle w:val="ListParagraph"/>
              <w:numPr>
                <w:ilvl w:val="0"/>
                <w:numId w:val="10"/>
              </w:numPr>
              <w:tabs>
                <w:tab w:val="clear" w:pos="2835"/>
              </w:tabs>
              <w:spacing w:after="0"/>
            </w:pPr>
            <w:r>
              <w:t>If yes, go to Step 3</w:t>
            </w:r>
          </w:p>
          <w:p w14:paraId="4F204854" w14:textId="77777777" w:rsidR="0025085D" w:rsidRDefault="0025085D" w:rsidP="0025085D">
            <w:pPr>
              <w:pStyle w:val="ListParagraph"/>
              <w:numPr>
                <w:ilvl w:val="0"/>
                <w:numId w:val="10"/>
              </w:numPr>
              <w:tabs>
                <w:tab w:val="clear" w:pos="2835"/>
              </w:tabs>
              <w:spacing w:after="0"/>
            </w:pPr>
            <w:r>
              <w:t>If no, the contract is not subject to disclosure.</w:t>
            </w:r>
          </w:p>
          <w:p w14:paraId="6A685AF2" w14:textId="1A0F5019" w:rsidR="0025085D" w:rsidRDefault="0025085D" w:rsidP="003A5AF1">
            <w:pPr>
              <w:spacing w:before="120"/>
            </w:pPr>
            <w:r w:rsidRPr="00D6682D">
              <w:rPr>
                <w:b/>
                <w:bCs/>
              </w:rPr>
              <w:t>For contracts already disclosed:</w:t>
            </w:r>
            <w:r>
              <w:t xml:space="preserve"> Determine if the contract has ‘</w:t>
            </w:r>
            <w:hyperlink w:anchor="_Material_change_to" w:history="1">
              <w:r w:rsidRPr="009144DB">
                <w:rPr>
                  <w:rStyle w:val="Hyperlink"/>
                </w:rPr>
                <w:t>materially changed</w:t>
              </w:r>
            </w:hyperlink>
            <w:r>
              <w:t>’:</w:t>
            </w:r>
          </w:p>
          <w:p w14:paraId="4075F5AB" w14:textId="77777777" w:rsidR="0025085D" w:rsidRDefault="0025085D" w:rsidP="0025085D">
            <w:pPr>
              <w:pStyle w:val="ListParagraph"/>
              <w:numPr>
                <w:ilvl w:val="0"/>
                <w:numId w:val="13"/>
              </w:numPr>
              <w:tabs>
                <w:tab w:val="clear" w:pos="2835"/>
              </w:tabs>
              <w:spacing w:after="0"/>
            </w:pPr>
            <w:r>
              <w:t>If yes, go to Step 3</w:t>
            </w:r>
          </w:p>
          <w:p w14:paraId="085E6F5A" w14:textId="77777777" w:rsidR="0025085D" w:rsidRPr="00BC4F51" w:rsidRDefault="0025085D" w:rsidP="003A5AF1">
            <w:pPr>
              <w:pStyle w:val="ListParagraph"/>
              <w:numPr>
                <w:ilvl w:val="0"/>
                <w:numId w:val="13"/>
              </w:numPr>
              <w:tabs>
                <w:tab w:val="clear" w:pos="2835"/>
              </w:tabs>
              <w:ind w:left="777" w:hanging="357"/>
            </w:pPr>
            <w:r>
              <w:t>If no, the change is not subject to disclosure.</w:t>
            </w:r>
          </w:p>
        </w:tc>
      </w:tr>
      <w:tr w:rsidR="0025085D" w14:paraId="152917F1" w14:textId="77777777" w:rsidTr="0087223C">
        <w:trPr>
          <w:trHeight w:val="454"/>
        </w:trPr>
        <w:tc>
          <w:tcPr>
            <w:tcW w:w="382" w:type="pct"/>
            <w:vAlign w:val="center"/>
          </w:tcPr>
          <w:p w14:paraId="6FB298F8" w14:textId="77777777" w:rsidR="0025085D" w:rsidRDefault="0025085D" w:rsidP="00753813">
            <w:pPr>
              <w:jc w:val="center"/>
            </w:pPr>
            <w:r>
              <w:t>3</w:t>
            </w:r>
          </w:p>
        </w:tc>
        <w:tc>
          <w:tcPr>
            <w:tcW w:w="4618" w:type="pct"/>
            <w:vAlign w:val="center"/>
          </w:tcPr>
          <w:p w14:paraId="44FEBD54" w14:textId="77777777" w:rsidR="00A23987" w:rsidRDefault="0025085D" w:rsidP="00A23987">
            <w:pPr>
              <w:spacing w:before="120"/>
            </w:pPr>
            <w:r>
              <w:t xml:space="preserve">Identify and record if there are </w:t>
            </w:r>
            <w:hyperlink w:anchor="_Identify_and_record" w:history="1">
              <w:r w:rsidRPr="009144DB">
                <w:rPr>
                  <w:rStyle w:val="Hyperlink"/>
                </w:rPr>
                <w:t>any reasons why disclosure should not occur</w:t>
              </w:r>
            </w:hyperlink>
            <w:r>
              <w:t xml:space="preserve"> (whether in part or entirety). </w:t>
            </w:r>
          </w:p>
          <w:p w14:paraId="31A342FA" w14:textId="1A7CE8E1" w:rsidR="0025085D" w:rsidRDefault="0025085D" w:rsidP="003A5AF1">
            <w:pPr>
              <w:spacing w:before="120"/>
            </w:pPr>
            <w:r>
              <w:t>Consider:</w:t>
            </w:r>
          </w:p>
          <w:p w14:paraId="5F4D456A" w14:textId="215C04E8" w:rsidR="0025085D" w:rsidRDefault="0025085D" w:rsidP="0025085D">
            <w:pPr>
              <w:pStyle w:val="ListParagraph"/>
              <w:numPr>
                <w:ilvl w:val="0"/>
                <w:numId w:val="22"/>
              </w:numPr>
              <w:tabs>
                <w:tab w:val="clear" w:pos="2835"/>
              </w:tabs>
              <w:spacing w:after="0"/>
            </w:pPr>
            <w:r>
              <w:t>whether any specific confidentiality provisions apply</w:t>
            </w:r>
            <w:r w:rsidR="00CF6B42">
              <w:t xml:space="preserve"> – this relates to information that a supplier has explicitly requested to be kept confidential (as opposed to general confidentiality provisions)</w:t>
            </w:r>
            <w:r w:rsidR="00F35B52">
              <w:t xml:space="preserve">. Further </w:t>
            </w:r>
            <w:r w:rsidR="006C6891">
              <w:t>guidance</w:t>
            </w:r>
            <w:r w:rsidR="00F35B52">
              <w:t xml:space="preserve"> is provided in the </w:t>
            </w:r>
            <w:hyperlink r:id="rId19" w:history="1">
              <w:r w:rsidR="00F35B52" w:rsidRPr="003A5AF1">
                <w:rPr>
                  <w:rStyle w:val="Hyperlink"/>
                  <w:i/>
                  <w:iCs/>
                </w:rPr>
                <w:t>Use and disclosure of confidentiality provisions in government contracts guide</w:t>
              </w:r>
            </w:hyperlink>
          </w:p>
          <w:p w14:paraId="326CD01F" w14:textId="77777777" w:rsidR="0025085D" w:rsidRDefault="0025085D" w:rsidP="0025085D">
            <w:pPr>
              <w:pStyle w:val="ListParagraph"/>
              <w:numPr>
                <w:ilvl w:val="0"/>
                <w:numId w:val="22"/>
              </w:numPr>
              <w:tabs>
                <w:tab w:val="clear" w:pos="2835"/>
              </w:tabs>
              <w:spacing w:after="0"/>
            </w:pPr>
            <w:r w:rsidRPr="00970A1B">
              <w:rPr>
                <w:i/>
                <w:iCs/>
              </w:rPr>
              <w:t>Right to Information Act 2009</w:t>
            </w:r>
            <w:r>
              <w:t xml:space="preserve"> and </w:t>
            </w:r>
            <w:r w:rsidRPr="00970A1B">
              <w:rPr>
                <w:i/>
                <w:iCs/>
              </w:rPr>
              <w:t>Information Privacy Act 2009</w:t>
            </w:r>
            <w:r>
              <w:t>.</w:t>
            </w:r>
          </w:p>
          <w:p w14:paraId="2370CAB6" w14:textId="1DA87260" w:rsidR="0025085D" w:rsidRDefault="0025085D" w:rsidP="003A5AF1">
            <w:pPr>
              <w:spacing w:before="120"/>
            </w:pPr>
            <w:r>
              <w:t>If disclosure should not occur in its entirety, go to Step 4</w:t>
            </w:r>
            <w:r w:rsidR="00A23987">
              <w:t>.</w:t>
            </w:r>
          </w:p>
          <w:p w14:paraId="36A5E403" w14:textId="7AFBFF32" w:rsidR="0025085D" w:rsidRPr="000624E6" w:rsidRDefault="0025085D" w:rsidP="000624E6">
            <w:r>
              <w:t>If disclosure should occur, whether in part or entirety, go to Step 5</w:t>
            </w:r>
            <w:r w:rsidR="00A23987">
              <w:t>.</w:t>
            </w:r>
          </w:p>
        </w:tc>
      </w:tr>
      <w:tr w:rsidR="0025085D" w14:paraId="221937EB" w14:textId="77777777" w:rsidTr="0087223C">
        <w:trPr>
          <w:trHeight w:val="454"/>
        </w:trPr>
        <w:tc>
          <w:tcPr>
            <w:tcW w:w="382" w:type="pct"/>
            <w:vAlign w:val="center"/>
          </w:tcPr>
          <w:p w14:paraId="64882BA6" w14:textId="77777777" w:rsidR="0025085D" w:rsidRDefault="0025085D" w:rsidP="00753813">
            <w:pPr>
              <w:jc w:val="center"/>
            </w:pPr>
            <w:r>
              <w:t>4</w:t>
            </w:r>
          </w:p>
        </w:tc>
        <w:tc>
          <w:tcPr>
            <w:tcW w:w="4618" w:type="pct"/>
            <w:vAlign w:val="center"/>
          </w:tcPr>
          <w:p w14:paraId="55A3AC4A" w14:textId="77777777" w:rsidR="0025085D" w:rsidRDefault="0025085D" w:rsidP="003A5AF1">
            <w:pPr>
              <w:spacing w:before="120"/>
            </w:pPr>
            <w:r>
              <w:t>Obtain agency delegate approval to not disclose.</w:t>
            </w:r>
          </w:p>
          <w:p w14:paraId="56FF7ADC" w14:textId="1CFAC4EA" w:rsidR="002970CF" w:rsidRPr="00BA5AE4" w:rsidRDefault="007C6C4E" w:rsidP="00BA5AE4">
            <w:r>
              <w:t>Record the reason(s) for non-disclosure of any contract against a single register maintained by your agency. Once recorded, no further action is required.</w:t>
            </w:r>
          </w:p>
        </w:tc>
      </w:tr>
      <w:tr w:rsidR="0025085D" w14:paraId="2D204429" w14:textId="77777777" w:rsidTr="0087223C">
        <w:trPr>
          <w:trHeight w:val="454"/>
        </w:trPr>
        <w:tc>
          <w:tcPr>
            <w:tcW w:w="382" w:type="pct"/>
            <w:vAlign w:val="center"/>
          </w:tcPr>
          <w:p w14:paraId="3C82FEB9" w14:textId="77777777" w:rsidR="0025085D" w:rsidRDefault="0025085D" w:rsidP="00753813">
            <w:pPr>
              <w:jc w:val="center"/>
            </w:pPr>
            <w:r>
              <w:t>5</w:t>
            </w:r>
          </w:p>
        </w:tc>
        <w:tc>
          <w:tcPr>
            <w:tcW w:w="4618" w:type="pct"/>
            <w:vAlign w:val="center"/>
          </w:tcPr>
          <w:p w14:paraId="0872DC92" w14:textId="77777777" w:rsidR="0025085D" w:rsidRDefault="0025085D" w:rsidP="003A5AF1">
            <w:pPr>
              <w:spacing w:before="120"/>
            </w:pPr>
            <w:r>
              <w:t xml:space="preserve">Contact your agency’s custodian – this is the individual responsible for creating and publishing contract disclosure information on the </w:t>
            </w:r>
            <w:hyperlink r:id="rId20" w:history="1">
              <w:r>
                <w:rPr>
                  <w:rStyle w:val="Hyperlink"/>
                </w:rPr>
                <w:t>Queensland Government O</w:t>
              </w:r>
              <w:r w:rsidRPr="002E5D5A">
                <w:rPr>
                  <w:rStyle w:val="Hyperlink"/>
                </w:rPr>
                <w:t>pen Data Portal</w:t>
              </w:r>
            </w:hyperlink>
            <w:r>
              <w:t>. Note:</w:t>
            </w:r>
          </w:p>
          <w:p w14:paraId="39848CF4" w14:textId="77777777" w:rsidR="0025085D" w:rsidRPr="00B770C8" w:rsidRDefault="0025085D" w:rsidP="003A5AF1">
            <w:pPr>
              <w:pStyle w:val="ListParagraph"/>
              <w:numPr>
                <w:ilvl w:val="0"/>
                <w:numId w:val="34"/>
              </w:numPr>
              <w:tabs>
                <w:tab w:val="clear" w:pos="2835"/>
              </w:tabs>
              <w:ind w:left="714" w:hanging="357"/>
            </w:pPr>
            <w:r>
              <w:t xml:space="preserve">For custodians, create a new account by completing an </w:t>
            </w:r>
            <w:hyperlink r:id="rId21" w:history="1">
              <w:r w:rsidRPr="002E5D5A">
                <w:rPr>
                  <w:rStyle w:val="Hyperlink"/>
                </w:rPr>
                <w:t>online form</w:t>
              </w:r>
            </w:hyperlink>
            <w:r>
              <w:t xml:space="preserve"> to publish on the Open Data Portal.</w:t>
            </w:r>
          </w:p>
        </w:tc>
      </w:tr>
      <w:tr w:rsidR="0025085D" w14:paraId="089D8F59" w14:textId="77777777" w:rsidTr="0087223C">
        <w:trPr>
          <w:trHeight w:val="454"/>
        </w:trPr>
        <w:tc>
          <w:tcPr>
            <w:tcW w:w="382" w:type="pct"/>
            <w:vAlign w:val="center"/>
          </w:tcPr>
          <w:p w14:paraId="49E3925D" w14:textId="77777777" w:rsidR="0025085D" w:rsidRDefault="0025085D" w:rsidP="00753813">
            <w:pPr>
              <w:jc w:val="center"/>
            </w:pPr>
            <w:r>
              <w:t>6</w:t>
            </w:r>
          </w:p>
        </w:tc>
        <w:tc>
          <w:tcPr>
            <w:tcW w:w="4618" w:type="pct"/>
            <w:vAlign w:val="center"/>
          </w:tcPr>
          <w:p w14:paraId="3A72DFD7" w14:textId="44F1017E" w:rsidR="0025085D" w:rsidRDefault="0025085D" w:rsidP="003A5AF1">
            <w:pPr>
              <w:spacing w:before="120"/>
            </w:pPr>
            <w:r>
              <w:t>Prepare a Contract disclosure file and/or proposed updates to the file</w:t>
            </w:r>
            <w:r w:rsidR="00DF4DBB">
              <w:t xml:space="preserve"> to </w:t>
            </w:r>
            <w:r>
              <w:t>record details of reportable contracts and/or material change(s) to an existing contract(s).</w:t>
            </w:r>
          </w:p>
          <w:p w14:paraId="3B6F41AD" w14:textId="4011847D" w:rsidR="0025085D" w:rsidRPr="00F848FF" w:rsidRDefault="0025085D" w:rsidP="00F848FF">
            <w:r>
              <w:t xml:space="preserve">For each financial year, </w:t>
            </w:r>
            <w:r w:rsidRPr="00F848FF">
              <w:t>create</w:t>
            </w:r>
            <w:r w:rsidRPr="00F848FF">
              <w:rPr>
                <w:b/>
                <w:bCs/>
              </w:rPr>
              <w:t xml:space="preserve"> one</w:t>
            </w:r>
            <w:r w:rsidRPr="00F848FF">
              <w:t xml:space="preserve"> Contract disclosure file using the </w:t>
            </w:r>
            <w:hyperlink r:id="rId22" w:history="1">
              <w:r w:rsidRPr="00C15356">
                <w:rPr>
                  <w:rStyle w:val="Hyperlink"/>
                  <w:i/>
                </w:rPr>
                <w:t>Contract disclosure publishing template</w:t>
              </w:r>
            </w:hyperlink>
            <w:r w:rsidRPr="00F848FF">
              <w:t xml:space="preserve"> (refer to </w:t>
            </w:r>
            <w:hyperlink w:anchor="_Appendix_1:_Contract">
              <w:r w:rsidRPr="7CED40C9">
                <w:rPr>
                  <w:rStyle w:val="Hyperlink"/>
                </w:rPr>
                <w:t>Appendix 1</w:t>
              </w:r>
            </w:hyperlink>
            <w:r w:rsidRPr="00F848FF">
              <w:t xml:space="preserve"> for further technical details</w:t>
            </w:r>
            <w:r>
              <w:t>).</w:t>
            </w:r>
            <w:r w:rsidR="00DF4DBB">
              <w:t xml:space="preserve"> </w:t>
            </w:r>
          </w:p>
          <w:p w14:paraId="07A19579" w14:textId="77777777" w:rsidR="0025085D" w:rsidRDefault="0025085D" w:rsidP="00F848FF">
            <w:r>
              <w:t xml:space="preserve">For each month within a financial year, </w:t>
            </w:r>
            <w:r w:rsidRPr="00F848FF">
              <w:t>update the Contract disclosure file</w:t>
            </w:r>
            <w:r>
              <w:t xml:space="preserve"> by outlining:</w:t>
            </w:r>
          </w:p>
          <w:p w14:paraId="5CEFF9E1" w14:textId="77777777" w:rsidR="0025085D" w:rsidRDefault="0025085D" w:rsidP="0025085D">
            <w:pPr>
              <w:pStyle w:val="ListParagraph"/>
              <w:numPr>
                <w:ilvl w:val="0"/>
                <w:numId w:val="34"/>
              </w:numPr>
              <w:tabs>
                <w:tab w:val="clear" w:pos="2835"/>
              </w:tabs>
              <w:spacing w:after="0"/>
            </w:pPr>
            <w:r>
              <w:t>any new reportable contracts as a separate line item</w:t>
            </w:r>
          </w:p>
          <w:p w14:paraId="7D520C0B" w14:textId="77777777" w:rsidR="0025085D" w:rsidRPr="003A5AF1" w:rsidRDefault="0025085D" w:rsidP="0025085D">
            <w:pPr>
              <w:pStyle w:val="ListParagraph"/>
              <w:numPr>
                <w:ilvl w:val="0"/>
                <w:numId w:val="34"/>
              </w:numPr>
              <w:tabs>
                <w:tab w:val="clear" w:pos="2835"/>
              </w:tabs>
              <w:spacing w:after="0"/>
            </w:pPr>
            <w:r w:rsidRPr="003A5AF1">
              <w:t xml:space="preserve">each material </w:t>
            </w:r>
            <w:proofErr w:type="gramStart"/>
            <w:r w:rsidRPr="003A5AF1">
              <w:t>change</w:t>
            </w:r>
            <w:proofErr w:type="gramEnd"/>
            <w:r w:rsidRPr="003A5AF1">
              <w:t xml:space="preserve"> as either: </w:t>
            </w:r>
          </w:p>
          <w:p w14:paraId="4FA503FF" w14:textId="77777777" w:rsidR="0025085D" w:rsidRPr="003A5AF1" w:rsidRDefault="0025085D" w:rsidP="0025085D">
            <w:pPr>
              <w:pStyle w:val="ListParagraph"/>
              <w:numPr>
                <w:ilvl w:val="1"/>
                <w:numId w:val="34"/>
              </w:numPr>
              <w:tabs>
                <w:tab w:val="clear" w:pos="2835"/>
              </w:tabs>
              <w:spacing w:after="0"/>
            </w:pPr>
            <w:r w:rsidRPr="003A5AF1">
              <w:t>an update to the original disclosure; or</w:t>
            </w:r>
          </w:p>
          <w:p w14:paraId="08972D2D" w14:textId="4DA3A1C8" w:rsidR="0025085D" w:rsidRPr="003A5AF1" w:rsidRDefault="0025085D" w:rsidP="003A5AF1">
            <w:pPr>
              <w:pStyle w:val="ListParagraph"/>
              <w:numPr>
                <w:ilvl w:val="1"/>
                <w:numId w:val="34"/>
              </w:numPr>
              <w:tabs>
                <w:tab w:val="clear" w:pos="2835"/>
              </w:tabs>
              <w:spacing w:after="0"/>
            </w:pPr>
            <w:r w:rsidRPr="003A5AF1">
              <w:t>entering a separate line item, referencing the original disclosure which the material change relates to.</w:t>
            </w:r>
          </w:p>
          <w:p w14:paraId="3F950D5B" w14:textId="77777777" w:rsidR="0025085D" w:rsidRDefault="0025085D" w:rsidP="003A5AF1">
            <w:pPr>
              <w:spacing w:before="120"/>
            </w:pPr>
            <w:r>
              <w:lastRenderedPageBreak/>
              <w:t>Note:</w:t>
            </w:r>
          </w:p>
          <w:p w14:paraId="02BBC185" w14:textId="3BEAFC5C" w:rsidR="00A9689C" w:rsidRDefault="00E43389" w:rsidP="0025085D">
            <w:pPr>
              <w:pStyle w:val="ListParagraph"/>
              <w:numPr>
                <w:ilvl w:val="0"/>
                <w:numId w:val="27"/>
              </w:numPr>
              <w:tabs>
                <w:tab w:val="clear" w:pos="2835"/>
              </w:tabs>
              <w:spacing w:after="0"/>
            </w:pPr>
            <w:r>
              <w:t xml:space="preserve">Agencies should prepare and/or update the Contract disclosure file </w:t>
            </w:r>
            <w:r w:rsidR="00D86074">
              <w:t>noting</w:t>
            </w:r>
            <w:r w:rsidR="00E8470E">
              <w:t xml:space="preserve"> there are</w:t>
            </w:r>
            <w:r w:rsidR="00D86074">
              <w:t xml:space="preserve"> mandatory and optional fields for completion</w:t>
            </w:r>
            <w:r w:rsidR="006A06AC">
              <w:t xml:space="preserve"> within the file</w:t>
            </w:r>
            <w:r w:rsidR="00225E12">
              <w:t xml:space="preserve">. </w:t>
            </w:r>
          </w:p>
          <w:p w14:paraId="2A7DBE01" w14:textId="77777777" w:rsidR="00A9689C" w:rsidRDefault="00A9689C" w:rsidP="003A5AF1">
            <w:pPr>
              <w:pStyle w:val="ListParagraph"/>
              <w:numPr>
                <w:ilvl w:val="0"/>
                <w:numId w:val="0"/>
              </w:numPr>
              <w:tabs>
                <w:tab w:val="clear" w:pos="2835"/>
              </w:tabs>
              <w:spacing w:after="0"/>
              <w:ind w:left="720"/>
            </w:pPr>
          </w:p>
          <w:p w14:paraId="36F4BFBA" w14:textId="6D585CFD" w:rsidR="00CE744B" w:rsidRDefault="00225E12" w:rsidP="0025085D">
            <w:pPr>
              <w:pStyle w:val="ListParagraph"/>
              <w:numPr>
                <w:ilvl w:val="0"/>
                <w:numId w:val="27"/>
              </w:numPr>
              <w:tabs>
                <w:tab w:val="clear" w:pos="2835"/>
              </w:tabs>
              <w:spacing w:after="0"/>
            </w:pPr>
            <w:r>
              <w:t>Establishing a process to u</w:t>
            </w:r>
            <w:r w:rsidR="00CE744B">
              <w:t>pdat</w:t>
            </w:r>
            <w:r>
              <w:t>e</w:t>
            </w:r>
            <w:r w:rsidR="00CE744B">
              <w:t xml:space="preserve"> </w:t>
            </w:r>
            <w:r w:rsidR="000A1EB7">
              <w:t xml:space="preserve">the Contract disclosure file </w:t>
            </w:r>
            <w:proofErr w:type="gramStart"/>
            <w:r w:rsidR="000A1EB7">
              <w:t>on a monthly basis</w:t>
            </w:r>
            <w:proofErr w:type="gramEnd"/>
            <w:r w:rsidR="000A1EB7">
              <w:t xml:space="preserve"> enables agencies to </w:t>
            </w:r>
            <w:r w:rsidR="00210A5A">
              <w:t>discharge their contract disclosure obligation</w:t>
            </w:r>
            <w:r w:rsidR="004F471B">
              <w:t xml:space="preserve">s </w:t>
            </w:r>
            <w:r w:rsidR="00542B5B">
              <w:t>in a timely manner</w:t>
            </w:r>
            <w:r w:rsidR="004F471B">
              <w:t>.</w:t>
            </w:r>
            <w:r w:rsidR="009212D9">
              <w:t xml:space="preserve"> It is a matter for each agency to consolidate</w:t>
            </w:r>
            <w:r w:rsidR="00B21BC8">
              <w:t xml:space="preserve"> contract disclosure</w:t>
            </w:r>
            <w:r w:rsidR="009212D9">
              <w:t xml:space="preserve"> </w:t>
            </w:r>
            <w:r w:rsidR="0092521C">
              <w:t xml:space="preserve">data into a single Contract disclosure file where </w:t>
            </w:r>
            <w:r w:rsidR="0010280D">
              <w:t xml:space="preserve">multiple </w:t>
            </w:r>
            <w:r w:rsidR="00BD598A">
              <w:t>contract disclosure data sources are used.</w:t>
            </w:r>
          </w:p>
          <w:p w14:paraId="2F505F18" w14:textId="77777777" w:rsidR="004F471B" w:rsidRDefault="004F471B" w:rsidP="003A5AF1">
            <w:pPr>
              <w:pStyle w:val="ListParagraph"/>
              <w:numPr>
                <w:ilvl w:val="0"/>
                <w:numId w:val="0"/>
              </w:numPr>
              <w:tabs>
                <w:tab w:val="clear" w:pos="2835"/>
              </w:tabs>
              <w:spacing w:after="0"/>
              <w:ind w:left="720"/>
            </w:pPr>
          </w:p>
          <w:p w14:paraId="2B81DB68" w14:textId="337F5536" w:rsidR="00723E83" w:rsidRDefault="00723E83" w:rsidP="0025085D">
            <w:pPr>
              <w:pStyle w:val="ListParagraph"/>
              <w:numPr>
                <w:ilvl w:val="0"/>
                <w:numId w:val="27"/>
              </w:numPr>
              <w:tabs>
                <w:tab w:val="clear" w:pos="2835"/>
              </w:tabs>
              <w:spacing w:after="0"/>
            </w:pPr>
            <w:r>
              <w:t xml:space="preserve">For reportable contracts valued at </w:t>
            </w:r>
            <w:r w:rsidR="00DC0F08">
              <w:t xml:space="preserve">$500,000 (including GST) and above, when publishing the procurement method used, </w:t>
            </w:r>
            <w:r w:rsidR="00FC6159">
              <w:t xml:space="preserve">agencies must select from one of three </w:t>
            </w:r>
            <w:r w:rsidR="006C6891">
              <w:t xml:space="preserve">methods: </w:t>
            </w:r>
            <w:r w:rsidR="00FC6159">
              <w:t>open, selective or limited.</w:t>
            </w:r>
            <w:r w:rsidR="006C6891">
              <w:t xml:space="preserve"> Refer to the </w:t>
            </w:r>
            <w:hyperlink r:id="rId23" w:history="1">
              <w:r w:rsidR="006C6891" w:rsidRPr="008212C6">
                <w:rPr>
                  <w:rStyle w:val="Hyperlink"/>
                </w:rPr>
                <w:t>Glossary of the QPP</w:t>
              </w:r>
              <w:r w:rsidR="008212C6" w:rsidRPr="008212C6">
                <w:rPr>
                  <w:rStyle w:val="Hyperlink"/>
                </w:rPr>
                <w:t xml:space="preserve"> 2026</w:t>
              </w:r>
            </w:hyperlink>
            <w:r w:rsidR="006C6891">
              <w:t xml:space="preserve"> for a definition of these methods. </w:t>
            </w:r>
          </w:p>
          <w:p w14:paraId="0C6F6C4A" w14:textId="77777777" w:rsidR="008212C6" w:rsidRDefault="008212C6" w:rsidP="003A5AF1">
            <w:pPr>
              <w:pStyle w:val="ListParagraph"/>
              <w:numPr>
                <w:ilvl w:val="0"/>
                <w:numId w:val="0"/>
              </w:numPr>
              <w:tabs>
                <w:tab w:val="clear" w:pos="2835"/>
              </w:tabs>
              <w:spacing w:after="0"/>
              <w:ind w:left="720"/>
            </w:pPr>
          </w:p>
          <w:p w14:paraId="1FB8FF51" w14:textId="404AA3D2" w:rsidR="00586A9E" w:rsidRDefault="0025085D" w:rsidP="0025085D">
            <w:pPr>
              <w:pStyle w:val="ListParagraph"/>
              <w:numPr>
                <w:ilvl w:val="0"/>
                <w:numId w:val="27"/>
              </w:numPr>
              <w:tabs>
                <w:tab w:val="clear" w:pos="2835"/>
              </w:tabs>
              <w:spacing w:after="0"/>
            </w:pPr>
            <w:r>
              <w:t xml:space="preserve">For </w:t>
            </w:r>
            <w:r w:rsidR="00774840">
              <w:t xml:space="preserve">reportable </w:t>
            </w:r>
            <w:r>
              <w:t xml:space="preserve">contracts made </w:t>
            </w:r>
            <w:r w:rsidR="00875107">
              <w:t xml:space="preserve">under </w:t>
            </w:r>
            <w:r>
              <w:t>arrangements where a tendering or other prequalification process has already been undertaken (e.g. a common-use supply arrangement, multi-stage tender process or prequalified list), the published procurement method should b</w:t>
            </w:r>
            <w:r w:rsidR="00E30C86">
              <w:t>e</w:t>
            </w:r>
            <w:r>
              <w:t xml:space="preserve"> </w:t>
            </w:r>
            <w:r w:rsidR="00E30C86">
              <w:t xml:space="preserve">‘selective’ </w:t>
            </w:r>
            <w:r w:rsidR="00486680">
              <w:t xml:space="preserve">as the </w:t>
            </w:r>
            <w:r w:rsidR="00512582">
              <w:t xml:space="preserve">procurement </w:t>
            </w:r>
            <w:r w:rsidR="00486680">
              <w:t>method</w:t>
            </w:r>
            <w:r w:rsidR="00512582">
              <w:t xml:space="preserve"> used</w:t>
            </w:r>
            <w:r w:rsidR="00486680">
              <w:t xml:space="preserve"> involves inviting supplier</w:t>
            </w:r>
            <w:r w:rsidR="005644E5">
              <w:t>s</w:t>
            </w:r>
            <w:r w:rsidR="00486680">
              <w:t xml:space="preserve"> that have met pre-established criteria to offer</w:t>
            </w:r>
            <w:r w:rsidR="008925EB">
              <w:t xml:space="preserve">, regardless of whether </w:t>
            </w:r>
            <w:r w:rsidR="00467A91">
              <w:t>one</w:t>
            </w:r>
            <w:r w:rsidR="008925EB">
              <w:t xml:space="preserve"> or multiple suppliers are invited</w:t>
            </w:r>
            <w:r w:rsidR="006179F5">
              <w:t>.</w:t>
            </w:r>
            <w:r>
              <w:t xml:space="preserve"> </w:t>
            </w:r>
          </w:p>
          <w:p w14:paraId="2FD15920" w14:textId="77777777" w:rsidR="00586A9E" w:rsidRDefault="00586A9E" w:rsidP="003A5AF1">
            <w:pPr>
              <w:spacing w:after="0"/>
            </w:pPr>
          </w:p>
          <w:p w14:paraId="542E2064" w14:textId="54C474BB" w:rsidR="0025085D" w:rsidRPr="00590D42" w:rsidRDefault="0025085D" w:rsidP="003A5AF1">
            <w:pPr>
              <w:pStyle w:val="ListParagraph"/>
              <w:numPr>
                <w:ilvl w:val="0"/>
                <w:numId w:val="0"/>
              </w:numPr>
              <w:tabs>
                <w:tab w:val="clear" w:pos="2835"/>
              </w:tabs>
              <w:spacing w:after="0"/>
              <w:ind w:left="720"/>
            </w:pPr>
            <w:r>
              <w:t>For example, a CUSA is established based on an open tendering process</w:t>
            </w:r>
            <w:r w:rsidR="00402593">
              <w:t xml:space="preserve"> </w:t>
            </w:r>
            <w:r w:rsidR="00721E7C">
              <w:t xml:space="preserve">which contains </w:t>
            </w:r>
            <w:proofErr w:type="gramStart"/>
            <w:r w:rsidR="00721E7C">
              <w:t>a number of</w:t>
            </w:r>
            <w:proofErr w:type="gramEnd"/>
            <w:r w:rsidR="00721E7C">
              <w:t xml:space="preserve"> suppliers</w:t>
            </w:r>
            <w:r w:rsidR="00586A9E">
              <w:t>. An agency</w:t>
            </w:r>
            <w:r w:rsidR="00402593">
              <w:t xml:space="preserve"> approaches</w:t>
            </w:r>
            <w:r w:rsidR="00721E7C">
              <w:t xml:space="preserve"> three suppliers </w:t>
            </w:r>
            <w:r w:rsidR="007B50C9">
              <w:t xml:space="preserve">listed </w:t>
            </w:r>
            <w:r w:rsidR="00721E7C">
              <w:t>on the CUSA and</w:t>
            </w:r>
            <w:r w:rsidR="00402593">
              <w:t xml:space="preserve"> </w:t>
            </w:r>
            <w:r>
              <w:t>subsequently</w:t>
            </w:r>
            <w:r w:rsidR="00721E7C">
              <w:t xml:space="preserve"> </w:t>
            </w:r>
            <w:proofErr w:type="gramStart"/>
            <w:r w:rsidR="00721E7C">
              <w:t>enters into</w:t>
            </w:r>
            <w:proofErr w:type="gramEnd"/>
            <w:r>
              <w:t xml:space="preserve"> a contract with</w:t>
            </w:r>
            <w:r w:rsidR="00721E7C">
              <w:t xml:space="preserve"> one </w:t>
            </w:r>
            <w:r>
              <w:t>value</w:t>
            </w:r>
            <w:r w:rsidR="00721E7C">
              <w:t>d</w:t>
            </w:r>
            <w:r>
              <w:t xml:space="preserve"> over $500,000. The agency disclosing the contract would report the procurement method </w:t>
            </w:r>
            <w:r w:rsidRPr="003A5AF1">
              <w:t>as ‘selective’.</w:t>
            </w:r>
          </w:p>
        </w:tc>
      </w:tr>
      <w:tr w:rsidR="0025085D" w14:paraId="432C6692" w14:textId="77777777" w:rsidTr="0087223C">
        <w:trPr>
          <w:trHeight w:val="454"/>
        </w:trPr>
        <w:tc>
          <w:tcPr>
            <w:tcW w:w="382" w:type="pct"/>
            <w:vAlign w:val="center"/>
          </w:tcPr>
          <w:p w14:paraId="1F90F5D7" w14:textId="77777777" w:rsidR="0025085D" w:rsidRDefault="0025085D" w:rsidP="003A5AF1">
            <w:pPr>
              <w:spacing w:before="120"/>
              <w:jc w:val="center"/>
            </w:pPr>
            <w:r>
              <w:lastRenderedPageBreak/>
              <w:t>7</w:t>
            </w:r>
          </w:p>
        </w:tc>
        <w:tc>
          <w:tcPr>
            <w:tcW w:w="4618" w:type="pct"/>
            <w:vAlign w:val="center"/>
          </w:tcPr>
          <w:p w14:paraId="17340EE7" w14:textId="77777777" w:rsidR="0025085D" w:rsidRDefault="0025085D" w:rsidP="003A5AF1">
            <w:pPr>
              <w:spacing w:before="120"/>
            </w:pPr>
            <w:r>
              <w:t>Obtain agency delegate approval of completed Contract disclosure file and/or proposed updates to the file.</w:t>
            </w:r>
          </w:p>
        </w:tc>
      </w:tr>
      <w:tr w:rsidR="0025085D" w14:paraId="26C9B658" w14:textId="77777777" w:rsidTr="0087223C">
        <w:trPr>
          <w:trHeight w:val="454"/>
        </w:trPr>
        <w:tc>
          <w:tcPr>
            <w:tcW w:w="382" w:type="pct"/>
            <w:vAlign w:val="center"/>
          </w:tcPr>
          <w:p w14:paraId="1967C0CA" w14:textId="77777777" w:rsidR="0025085D" w:rsidRDefault="0025085D" w:rsidP="003A5AF1">
            <w:pPr>
              <w:spacing w:before="120"/>
              <w:jc w:val="center"/>
            </w:pPr>
            <w:r>
              <w:t>8</w:t>
            </w:r>
          </w:p>
        </w:tc>
        <w:tc>
          <w:tcPr>
            <w:tcW w:w="4618" w:type="pct"/>
            <w:vAlign w:val="center"/>
          </w:tcPr>
          <w:p w14:paraId="3C5BBF61" w14:textId="77777777" w:rsidR="0025085D" w:rsidRPr="009A7531" w:rsidRDefault="0025085D" w:rsidP="003A5AF1">
            <w:pPr>
              <w:spacing w:before="120"/>
            </w:pPr>
            <w:r>
              <w:t xml:space="preserve">Upload the approved Contract disclosure file and/or proposed updates to the file to the Open Data Portal. </w:t>
            </w:r>
          </w:p>
        </w:tc>
      </w:tr>
      <w:tr w:rsidR="0025085D" w14:paraId="4559E2E9" w14:textId="77777777" w:rsidTr="0087223C">
        <w:trPr>
          <w:trHeight w:val="454"/>
        </w:trPr>
        <w:tc>
          <w:tcPr>
            <w:tcW w:w="382" w:type="pct"/>
            <w:vAlign w:val="center"/>
          </w:tcPr>
          <w:p w14:paraId="23651A19" w14:textId="77777777" w:rsidR="0025085D" w:rsidRDefault="0025085D" w:rsidP="00753813">
            <w:pPr>
              <w:jc w:val="center"/>
            </w:pPr>
            <w:r>
              <w:t>9</w:t>
            </w:r>
          </w:p>
        </w:tc>
        <w:tc>
          <w:tcPr>
            <w:tcW w:w="4618" w:type="pct"/>
            <w:vAlign w:val="center"/>
          </w:tcPr>
          <w:p w14:paraId="78A6F989" w14:textId="77777777" w:rsidR="0025085D" w:rsidRDefault="0025085D" w:rsidP="003A5AF1">
            <w:pPr>
              <w:spacing w:before="120"/>
            </w:pPr>
            <w:r>
              <w:t>At the end of a financial year, close off the Contract disclosure file and retain on the Open Data Portal.</w:t>
            </w:r>
          </w:p>
          <w:p w14:paraId="365065B0" w14:textId="77777777" w:rsidR="0025085D" w:rsidRDefault="0025085D" w:rsidP="00BA5AE4">
            <w:r>
              <w:t>Store the Contract disclosure file, contract, agency delegate approvals and other relevant information according to your agency’s record-keeping policies and procedures.</w:t>
            </w:r>
          </w:p>
        </w:tc>
      </w:tr>
      <w:tr w:rsidR="0056698B" w14:paraId="166E2A75" w14:textId="77777777" w:rsidTr="0087223C">
        <w:trPr>
          <w:trHeight w:val="454"/>
        </w:trPr>
        <w:tc>
          <w:tcPr>
            <w:tcW w:w="382" w:type="pct"/>
            <w:vAlign w:val="center"/>
          </w:tcPr>
          <w:p w14:paraId="69DCE682" w14:textId="32EA816C" w:rsidR="0056698B" w:rsidRDefault="0056698B" w:rsidP="00753813">
            <w:pPr>
              <w:jc w:val="center"/>
            </w:pPr>
            <w:r>
              <w:t>10</w:t>
            </w:r>
          </w:p>
        </w:tc>
        <w:tc>
          <w:tcPr>
            <w:tcW w:w="4618" w:type="pct"/>
            <w:vAlign w:val="center"/>
          </w:tcPr>
          <w:p w14:paraId="515D63B9" w14:textId="77777777" w:rsidR="00CC1D4C" w:rsidRDefault="0056698B">
            <w:pPr>
              <w:spacing w:before="120"/>
            </w:pPr>
            <w:r>
              <w:t xml:space="preserve">At the start of the next financial year, </w:t>
            </w:r>
            <w:r w:rsidR="007E1911">
              <w:t>start from Step 1 above</w:t>
            </w:r>
            <w:r w:rsidR="00CC1D4C">
              <w:t>.</w:t>
            </w:r>
          </w:p>
          <w:p w14:paraId="5A840985" w14:textId="20C63508" w:rsidR="00543BEA" w:rsidRDefault="00543BEA">
            <w:pPr>
              <w:spacing w:before="120"/>
            </w:pPr>
            <w:r w:rsidRPr="003A5AF1">
              <w:t xml:space="preserve">If </w:t>
            </w:r>
            <w:r w:rsidR="00E92D46" w:rsidRPr="003A5AF1">
              <w:t xml:space="preserve">a </w:t>
            </w:r>
            <w:r w:rsidRPr="003A5AF1">
              <w:t>contract has already been disclosed and</w:t>
            </w:r>
            <w:r w:rsidR="00E92D46" w:rsidRPr="003A5AF1">
              <w:t xml:space="preserve"> the financial year</w:t>
            </w:r>
            <w:r w:rsidRPr="003A5AF1">
              <w:t xml:space="preserve"> file is closed, the contract continues in the next year and is varied</w:t>
            </w:r>
            <w:r w:rsidR="005E6544" w:rsidRPr="003A5AF1">
              <w:t>,</w:t>
            </w:r>
            <w:r w:rsidRPr="003A5AF1">
              <w:t xml:space="preserve"> include </w:t>
            </w:r>
            <w:r w:rsidR="005E6544" w:rsidRPr="003A5AF1">
              <w:t xml:space="preserve">the </w:t>
            </w:r>
            <w:r w:rsidRPr="003A5AF1">
              <w:t>contract with only the variation amount, select Y for variation, and any additional information only in the next year, as the original value has already been disclosed.</w:t>
            </w:r>
          </w:p>
        </w:tc>
      </w:tr>
    </w:tbl>
    <w:p w14:paraId="2462D38C" w14:textId="77777777" w:rsidR="0025085D" w:rsidRDefault="0025085D" w:rsidP="003A5AF1"/>
    <w:tbl>
      <w:tblPr>
        <w:tblStyle w:val="TableGrid"/>
        <w:tblW w:w="5000" w:type="pct"/>
        <w:tblLook w:val="04A0" w:firstRow="1" w:lastRow="0" w:firstColumn="1" w:lastColumn="0" w:noHBand="0" w:noVBand="1"/>
      </w:tblPr>
      <w:tblGrid>
        <w:gridCol w:w="10478"/>
      </w:tblGrid>
      <w:tr w:rsidR="0025085D" w:rsidRPr="00E50CB1" w14:paraId="6C126432" w14:textId="77777777" w:rsidTr="00555380">
        <w:trPr>
          <w:trHeight w:val="454"/>
        </w:trPr>
        <w:tc>
          <w:tcPr>
            <w:tcW w:w="5000" w:type="pct"/>
            <w:shd w:val="clear" w:color="auto" w:fill="0070C0"/>
            <w:vAlign w:val="center"/>
          </w:tcPr>
          <w:p w14:paraId="7E5A5F99" w14:textId="77777777" w:rsidR="0025085D" w:rsidRPr="00E50CB1" w:rsidRDefault="0025085D" w:rsidP="003A5AF1">
            <w:pPr>
              <w:spacing w:after="0"/>
              <w:rPr>
                <w:b/>
                <w:bCs/>
                <w:color w:val="FFFFFF" w:themeColor="background1"/>
              </w:rPr>
            </w:pPr>
            <w:r>
              <w:rPr>
                <w:b/>
                <w:bCs/>
                <w:color w:val="FFFFFF" w:themeColor="background1"/>
              </w:rPr>
              <w:t>Note: Queensland Procurement Solution</w:t>
            </w:r>
          </w:p>
        </w:tc>
      </w:tr>
      <w:tr w:rsidR="0025085D" w:rsidRPr="007E7200" w14:paraId="068B9AFF" w14:textId="77777777" w:rsidTr="00555380">
        <w:trPr>
          <w:trHeight w:val="371"/>
        </w:trPr>
        <w:tc>
          <w:tcPr>
            <w:tcW w:w="5000" w:type="pct"/>
            <w:vAlign w:val="center"/>
          </w:tcPr>
          <w:p w14:paraId="0257E202" w14:textId="32458DEE" w:rsidR="0025085D" w:rsidRDefault="0025085D" w:rsidP="003A5AF1">
            <w:pPr>
              <w:spacing w:before="120"/>
            </w:pPr>
            <w:r>
              <w:t xml:space="preserve">Agencies that are using the </w:t>
            </w:r>
            <w:hyperlink r:id="rId24" w:history="1">
              <w:r w:rsidRPr="004C7CC6">
                <w:rPr>
                  <w:rStyle w:val="Hyperlink"/>
                  <w:szCs w:val="22"/>
                </w:rPr>
                <w:t>Queensland Procurement Solution</w:t>
              </w:r>
            </w:hyperlink>
            <w:r>
              <w:t xml:space="preserve"> (QPS) platform to manage procurement automatically have the option of accessing the ‘Contracts Standard’ module of the QPS</w:t>
            </w:r>
            <w:r w:rsidR="004D25EE">
              <w:t>.</w:t>
            </w:r>
          </w:p>
          <w:p w14:paraId="3468A5E7" w14:textId="0BD65CEC" w:rsidR="0025085D" w:rsidRDefault="0025085D" w:rsidP="00954FF6">
            <w:r>
              <w:t>The ‘Contracts Standard’ module contains a function that enables the user to download a Contract disclosure file (i.e. Step 6 above) that contains details of awarded contracts that are in-scope for contract disclosure</w:t>
            </w:r>
            <w:r w:rsidR="004D25EE">
              <w:t>.</w:t>
            </w:r>
          </w:p>
          <w:p w14:paraId="7A8C62F7" w14:textId="1DEAD8E5" w:rsidR="0025085D" w:rsidRDefault="0025085D" w:rsidP="00954FF6">
            <w:r>
              <w:t>If relying on a Contract disclosure file through the QPS, this should be reconciled with data from your agency’s enterprise resource planning system to ensure any other contracts that are in-scope for disclosure are captured. Agency delegate approval of the reconciled file should then be sought prior to uploading to the Open Data Portal</w:t>
            </w:r>
            <w:r w:rsidR="004D25EE">
              <w:t>.</w:t>
            </w:r>
          </w:p>
          <w:p w14:paraId="2DB15160" w14:textId="75677A07" w:rsidR="004D25EE" w:rsidRPr="00954FF6" w:rsidRDefault="004D25EE" w:rsidP="00455674">
            <w:r w:rsidRPr="004D25EE">
              <w:t>For further</w:t>
            </w:r>
            <w:r>
              <w:t xml:space="preserve"> QPS</w:t>
            </w:r>
            <w:r w:rsidRPr="004D25EE">
              <w:t xml:space="preserve"> technical support enquiries, please email </w:t>
            </w:r>
            <w:hyperlink r:id="rId25" w:tgtFrame="_blank" w:history="1">
              <w:r w:rsidRPr="004D25EE">
                <w:rPr>
                  <w:rStyle w:val="Hyperlink"/>
                </w:rPr>
                <w:t>bsu@epw.qld.gov.au</w:t>
              </w:r>
            </w:hyperlink>
            <w:r w:rsidRPr="004D25EE">
              <w:t> or call (07) 3215 3588.</w:t>
            </w:r>
          </w:p>
        </w:tc>
      </w:tr>
    </w:tbl>
    <w:p w14:paraId="34C5CC91" w14:textId="77777777" w:rsidR="0025085D" w:rsidRDefault="0025085D" w:rsidP="00653BA5">
      <w:pPr>
        <w:pStyle w:val="Heading1"/>
      </w:pPr>
      <w:bookmarkStart w:id="5" w:name="_Reportable_contract"/>
      <w:bookmarkStart w:id="6" w:name="_Toc228863363"/>
      <w:bookmarkEnd w:id="5"/>
      <w:r>
        <w:t>Reportable contract</w:t>
      </w:r>
      <w:bookmarkEnd w:id="6"/>
    </w:p>
    <w:p w14:paraId="2345A10B" w14:textId="77777777" w:rsidR="0025085D" w:rsidRDefault="0025085D" w:rsidP="00313B68">
      <w:r>
        <w:t>A reportable contract must:</w:t>
      </w:r>
    </w:p>
    <w:p w14:paraId="413FF455" w14:textId="77777777" w:rsidR="0025085D" w:rsidRDefault="0025085D" w:rsidP="0025085D">
      <w:pPr>
        <w:pStyle w:val="ListParagraph"/>
        <w:numPr>
          <w:ilvl w:val="0"/>
          <w:numId w:val="11"/>
        </w:numPr>
        <w:tabs>
          <w:tab w:val="clear" w:pos="2835"/>
        </w:tabs>
        <w:spacing w:after="60"/>
      </w:pPr>
      <w:r>
        <w:t>meet the value threshold for disclosure; and</w:t>
      </w:r>
    </w:p>
    <w:p w14:paraId="4D8D2E18" w14:textId="77777777" w:rsidR="0025085D" w:rsidRDefault="0025085D" w:rsidP="003A5AF1">
      <w:pPr>
        <w:pStyle w:val="ListParagraph"/>
        <w:numPr>
          <w:ilvl w:val="0"/>
          <w:numId w:val="11"/>
        </w:numPr>
        <w:tabs>
          <w:tab w:val="clear" w:pos="2835"/>
        </w:tabs>
        <w:ind w:left="714" w:hanging="357"/>
      </w:pPr>
      <w:r>
        <w:t>be considered as a legally binding contract subject to disclosure.</w:t>
      </w:r>
    </w:p>
    <w:p w14:paraId="3C2E1C58" w14:textId="77777777" w:rsidR="0025085D" w:rsidRDefault="0025085D" w:rsidP="0036772A">
      <w:pPr>
        <w:pStyle w:val="Heading2"/>
      </w:pPr>
      <w:bookmarkStart w:id="7" w:name="_Toc228863364"/>
      <w:r>
        <w:lastRenderedPageBreak/>
        <w:t>Value threshold for disclosure</w:t>
      </w:r>
      <w:bookmarkEnd w:id="7"/>
    </w:p>
    <w:p w14:paraId="50023CB3" w14:textId="77777777" w:rsidR="0025085D" w:rsidRDefault="0025085D" w:rsidP="00CF63D0">
      <w:r>
        <w:t>When calculating whether a contract meets the value threshold for disclosure, you should:</w:t>
      </w:r>
    </w:p>
    <w:p w14:paraId="00DF8BFA" w14:textId="77777777" w:rsidR="0025085D" w:rsidRDefault="0025085D" w:rsidP="0025085D">
      <w:pPr>
        <w:pStyle w:val="ListParagraph"/>
        <w:numPr>
          <w:ilvl w:val="0"/>
          <w:numId w:val="12"/>
        </w:numPr>
        <w:tabs>
          <w:tab w:val="clear" w:pos="2835"/>
        </w:tabs>
        <w:spacing w:after="60"/>
      </w:pPr>
      <w:proofErr w:type="gramStart"/>
      <w:r>
        <w:t>take into account</w:t>
      </w:r>
      <w:proofErr w:type="gramEnd"/>
      <w:r>
        <w:t xml:space="preserve"> the total contract value, including GST, premiums, fees, commissions, interest or other revenue streams payable to a supplier</w:t>
      </w:r>
    </w:p>
    <w:p w14:paraId="1B09AD58" w14:textId="77777777" w:rsidR="0025085D" w:rsidRDefault="0025085D" w:rsidP="0025085D">
      <w:pPr>
        <w:pStyle w:val="ListParagraph"/>
        <w:numPr>
          <w:ilvl w:val="0"/>
          <w:numId w:val="12"/>
        </w:numPr>
        <w:tabs>
          <w:tab w:val="clear" w:pos="2835"/>
        </w:tabs>
        <w:spacing w:after="60"/>
      </w:pPr>
      <w:r>
        <w:t>not divide the contract into separate parts, or otherwise structure a contract, to avoid disclosing the contract (also known as ‘splitting’).</w:t>
      </w:r>
    </w:p>
    <w:p w14:paraId="5D4BD34C" w14:textId="77777777" w:rsidR="0025085D" w:rsidRDefault="0025085D" w:rsidP="003A5AF1">
      <w:pPr>
        <w:spacing w:before="120"/>
      </w:pPr>
      <w:r w:rsidRPr="004430ED">
        <w:rPr>
          <w:b/>
          <w:bCs/>
        </w:rPr>
        <w:t>Table 2</w:t>
      </w:r>
      <w:r>
        <w:t xml:space="preserve"> below provides general guidance on how to value contracts in different situations.</w:t>
      </w:r>
    </w:p>
    <w:p w14:paraId="40F5F725" w14:textId="77777777" w:rsidR="0025085D" w:rsidRPr="004430ED" w:rsidRDefault="0025085D" w:rsidP="002B327A">
      <w:pPr>
        <w:rPr>
          <w:sz w:val="18"/>
          <w:szCs w:val="20"/>
        </w:rPr>
      </w:pPr>
      <w:r w:rsidRPr="004430ED">
        <w:rPr>
          <w:b/>
          <w:bCs/>
          <w:sz w:val="18"/>
          <w:szCs w:val="20"/>
        </w:rPr>
        <w:t>Table 2:</w:t>
      </w:r>
      <w:r w:rsidRPr="004430ED">
        <w:rPr>
          <w:sz w:val="18"/>
          <w:szCs w:val="20"/>
        </w:rPr>
        <w:t xml:space="preserve"> Valuing contracts in different situations</w:t>
      </w:r>
    </w:p>
    <w:tbl>
      <w:tblPr>
        <w:tblStyle w:val="TableGrid"/>
        <w:tblW w:w="5000" w:type="pct"/>
        <w:tblLook w:val="04A0" w:firstRow="1" w:lastRow="0" w:firstColumn="1" w:lastColumn="0" w:noHBand="0" w:noVBand="1"/>
      </w:tblPr>
      <w:tblGrid>
        <w:gridCol w:w="2796"/>
        <w:gridCol w:w="7682"/>
      </w:tblGrid>
      <w:tr w:rsidR="0025085D" w14:paraId="1240E963" w14:textId="77777777" w:rsidTr="003A5AF1">
        <w:trPr>
          <w:trHeight w:val="454"/>
          <w:tblHeader/>
        </w:trPr>
        <w:tc>
          <w:tcPr>
            <w:tcW w:w="1334" w:type="pct"/>
            <w:shd w:val="clear" w:color="auto" w:fill="0070C0"/>
            <w:vAlign w:val="center"/>
          </w:tcPr>
          <w:p w14:paraId="37171139" w14:textId="77777777" w:rsidR="0025085D" w:rsidRPr="00E50CB1" w:rsidRDefault="0025085D" w:rsidP="003A5AF1">
            <w:pPr>
              <w:spacing w:after="0"/>
              <w:jc w:val="center"/>
              <w:rPr>
                <w:b/>
                <w:bCs/>
                <w:color w:val="FFFFFF" w:themeColor="background1"/>
              </w:rPr>
            </w:pPr>
            <w:r>
              <w:rPr>
                <w:b/>
                <w:bCs/>
                <w:color w:val="FFFFFF" w:themeColor="background1"/>
              </w:rPr>
              <w:t>Situation</w:t>
            </w:r>
          </w:p>
        </w:tc>
        <w:tc>
          <w:tcPr>
            <w:tcW w:w="3666" w:type="pct"/>
            <w:shd w:val="clear" w:color="auto" w:fill="0070C0"/>
            <w:vAlign w:val="center"/>
          </w:tcPr>
          <w:p w14:paraId="0AFC75D3" w14:textId="77777777" w:rsidR="0025085D" w:rsidRPr="00E50CB1" w:rsidRDefault="0025085D" w:rsidP="003A5AF1">
            <w:pPr>
              <w:spacing w:after="0"/>
              <w:jc w:val="center"/>
              <w:rPr>
                <w:b/>
                <w:bCs/>
                <w:color w:val="FFFFFF" w:themeColor="background1"/>
              </w:rPr>
            </w:pPr>
            <w:r>
              <w:rPr>
                <w:b/>
                <w:bCs/>
                <w:color w:val="FFFFFF" w:themeColor="background1"/>
              </w:rPr>
              <w:t>General guidance</w:t>
            </w:r>
          </w:p>
        </w:tc>
      </w:tr>
      <w:tr w:rsidR="0025085D" w14:paraId="596CD03B" w14:textId="77777777" w:rsidTr="00FE5588">
        <w:trPr>
          <w:trHeight w:val="371"/>
        </w:trPr>
        <w:tc>
          <w:tcPr>
            <w:tcW w:w="1334" w:type="pct"/>
            <w:vAlign w:val="center"/>
          </w:tcPr>
          <w:p w14:paraId="5F462440" w14:textId="77777777" w:rsidR="0025085D" w:rsidRDefault="0025085D" w:rsidP="003A5AF1">
            <w:pPr>
              <w:spacing w:before="120"/>
            </w:pPr>
            <w:r>
              <w:t>Contracts with optional extensions</w:t>
            </w:r>
          </w:p>
        </w:tc>
        <w:tc>
          <w:tcPr>
            <w:tcW w:w="3666" w:type="pct"/>
            <w:vAlign w:val="center"/>
          </w:tcPr>
          <w:p w14:paraId="20E98850" w14:textId="77777777" w:rsidR="0025085D" w:rsidRDefault="0025085D" w:rsidP="003A5AF1">
            <w:pPr>
              <w:pStyle w:val="ListParagraph"/>
              <w:numPr>
                <w:ilvl w:val="0"/>
                <w:numId w:val="14"/>
              </w:numPr>
              <w:tabs>
                <w:tab w:val="clear" w:pos="2835"/>
              </w:tabs>
              <w:spacing w:before="120" w:after="0"/>
              <w:ind w:left="357" w:hanging="357"/>
            </w:pPr>
            <w:r>
              <w:t>Disclose value for initial contract term.</w:t>
            </w:r>
          </w:p>
          <w:p w14:paraId="3A1F2F78" w14:textId="77777777" w:rsidR="0025085D" w:rsidRPr="00835648" w:rsidRDefault="0025085D" w:rsidP="003A5AF1">
            <w:pPr>
              <w:pStyle w:val="ListParagraph"/>
              <w:numPr>
                <w:ilvl w:val="0"/>
                <w:numId w:val="14"/>
              </w:numPr>
              <w:tabs>
                <w:tab w:val="clear" w:pos="2835"/>
              </w:tabs>
              <w:ind w:left="357" w:hanging="357"/>
            </w:pPr>
            <w:r>
              <w:t>Where extension is exercised and this meets the value threshold for disclosure, update disclosed value.</w:t>
            </w:r>
          </w:p>
        </w:tc>
      </w:tr>
      <w:tr w:rsidR="0025085D" w14:paraId="734C3CFC" w14:textId="77777777" w:rsidTr="00FE5588">
        <w:trPr>
          <w:trHeight w:val="454"/>
        </w:trPr>
        <w:tc>
          <w:tcPr>
            <w:tcW w:w="1334" w:type="pct"/>
            <w:vAlign w:val="center"/>
          </w:tcPr>
          <w:p w14:paraId="3E7D45C5" w14:textId="77777777" w:rsidR="0025085D" w:rsidRDefault="0025085D" w:rsidP="00FB611B">
            <w:r>
              <w:t>Multi-stage procurement</w:t>
            </w:r>
          </w:p>
        </w:tc>
        <w:tc>
          <w:tcPr>
            <w:tcW w:w="3666" w:type="pct"/>
            <w:vAlign w:val="center"/>
          </w:tcPr>
          <w:p w14:paraId="66EA6457" w14:textId="77777777" w:rsidR="0025085D" w:rsidRPr="00BF15BF" w:rsidRDefault="0025085D" w:rsidP="003A5AF1">
            <w:pPr>
              <w:spacing w:before="120"/>
            </w:pPr>
            <w:r w:rsidRPr="00BF15BF">
              <w:t>Disclosure depends on number of contracts awarded:</w:t>
            </w:r>
          </w:p>
          <w:p w14:paraId="49184C46" w14:textId="1DA960C7" w:rsidR="0025085D" w:rsidRDefault="0025085D" w:rsidP="0025085D">
            <w:pPr>
              <w:pStyle w:val="ListParagraph"/>
              <w:numPr>
                <w:ilvl w:val="0"/>
                <w:numId w:val="15"/>
              </w:numPr>
              <w:tabs>
                <w:tab w:val="clear" w:pos="2835"/>
              </w:tabs>
              <w:spacing w:after="0"/>
            </w:pPr>
            <w:r>
              <w:t>If separate contracts are awarded at each stage, disclose each stage contract individually. If any of these contracts are valued at or more than $10 million, add a reference to the other stage contracts in each disclosure.</w:t>
            </w:r>
          </w:p>
          <w:p w14:paraId="4432FE22" w14:textId="77777777" w:rsidR="0025085D" w:rsidRPr="002E493F" w:rsidRDefault="0025085D" w:rsidP="003A5AF1">
            <w:pPr>
              <w:pStyle w:val="ListParagraph"/>
              <w:numPr>
                <w:ilvl w:val="0"/>
                <w:numId w:val="15"/>
              </w:numPr>
              <w:tabs>
                <w:tab w:val="clear" w:pos="2835"/>
              </w:tabs>
              <w:ind w:left="357" w:hanging="357"/>
            </w:pPr>
            <w:r>
              <w:t>If only one contract is awarded, disclose the contract and, where necessary, update the value at the completion of each stage.</w:t>
            </w:r>
          </w:p>
        </w:tc>
      </w:tr>
      <w:tr w:rsidR="0025085D" w14:paraId="278C911A" w14:textId="77777777" w:rsidTr="00FE5588">
        <w:trPr>
          <w:trHeight w:val="454"/>
        </w:trPr>
        <w:tc>
          <w:tcPr>
            <w:tcW w:w="1334" w:type="pct"/>
            <w:vAlign w:val="center"/>
          </w:tcPr>
          <w:p w14:paraId="4ECC7932" w14:textId="43F148CC" w:rsidR="0025085D" w:rsidRDefault="0025085D" w:rsidP="003A5AF1">
            <w:pPr>
              <w:spacing w:before="120"/>
            </w:pPr>
            <w:r>
              <w:t>Contracts for the use of multiple agencies and common-use supply arrangements</w:t>
            </w:r>
          </w:p>
        </w:tc>
        <w:tc>
          <w:tcPr>
            <w:tcW w:w="3666" w:type="pct"/>
            <w:vAlign w:val="center"/>
          </w:tcPr>
          <w:p w14:paraId="15525180" w14:textId="1E69E15B" w:rsidR="0025085D" w:rsidRPr="003A5AF1" w:rsidRDefault="0025085D" w:rsidP="003A5AF1">
            <w:pPr>
              <w:pStyle w:val="ListParagraph"/>
              <w:numPr>
                <w:ilvl w:val="0"/>
                <w:numId w:val="16"/>
              </w:numPr>
              <w:tabs>
                <w:tab w:val="clear" w:pos="2835"/>
              </w:tabs>
              <w:spacing w:before="120" w:after="0"/>
              <w:ind w:left="357" w:hanging="357"/>
            </w:pPr>
            <w:r w:rsidRPr="003A5AF1">
              <w:t>On establishment, disclose the contract or common-use supply arrangement (i.e. based on a best estimate where possible).</w:t>
            </w:r>
          </w:p>
          <w:p w14:paraId="120D6947" w14:textId="77777777" w:rsidR="0025085D" w:rsidRPr="003A5AF1" w:rsidRDefault="0025085D" w:rsidP="003A5AF1">
            <w:pPr>
              <w:pStyle w:val="ListParagraph"/>
              <w:numPr>
                <w:ilvl w:val="0"/>
                <w:numId w:val="16"/>
              </w:numPr>
              <w:tabs>
                <w:tab w:val="clear" w:pos="2835"/>
              </w:tabs>
              <w:ind w:left="357" w:hanging="357"/>
            </w:pPr>
            <w:r w:rsidRPr="003A5AF1">
              <w:t xml:space="preserve">When entering any subsequent contracts (including contracts established under common-use supply arrangements), disclose the contract provided it meets the value threshold for disclosure.  </w:t>
            </w:r>
          </w:p>
        </w:tc>
      </w:tr>
      <w:tr w:rsidR="0025085D" w14:paraId="45CF66C3" w14:textId="77777777" w:rsidTr="00FE5588">
        <w:trPr>
          <w:trHeight w:val="454"/>
        </w:trPr>
        <w:tc>
          <w:tcPr>
            <w:tcW w:w="1334" w:type="pct"/>
            <w:vAlign w:val="center"/>
          </w:tcPr>
          <w:p w14:paraId="56A750C9" w14:textId="5FAC1B74" w:rsidR="0025085D" w:rsidRDefault="0025085D" w:rsidP="00FB611B">
            <w:r>
              <w:t>Contracts where the value is unknown at award</w:t>
            </w:r>
            <w:r w:rsidR="00DF5143">
              <w:t xml:space="preserve"> (e.g. </w:t>
            </w:r>
            <w:r w:rsidR="00AA5601">
              <w:t>to respond to genuine emergencies)</w:t>
            </w:r>
          </w:p>
        </w:tc>
        <w:tc>
          <w:tcPr>
            <w:tcW w:w="3666" w:type="pct"/>
            <w:vAlign w:val="center"/>
          </w:tcPr>
          <w:p w14:paraId="6BD30DA7" w14:textId="77777777" w:rsidR="0025085D" w:rsidRPr="003A5AF1" w:rsidRDefault="0025085D" w:rsidP="003A5AF1">
            <w:pPr>
              <w:pStyle w:val="ListParagraph"/>
              <w:numPr>
                <w:ilvl w:val="0"/>
                <w:numId w:val="17"/>
              </w:numPr>
              <w:tabs>
                <w:tab w:val="clear" w:pos="2835"/>
              </w:tabs>
              <w:spacing w:before="120" w:after="0"/>
              <w:ind w:left="357" w:hanging="357"/>
            </w:pPr>
            <w:r w:rsidRPr="003A5AF1">
              <w:t>Disclose a best estimate, specifying that the figure is an estimate. Document the basis for your estimate by referring to usage-based or demand-driven projections, supported by objective and justifiable assumptions such as historical spend, forecast demand or usage modelling.</w:t>
            </w:r>
          </w:p>
          <w:p w14:paraId="1ABFA952" w14:textId="39BB925C" w:rsidR="00DF5143" w:rsidRPr="003A5AF1" w:rsidRDefault="0025085D" w:rsidP="003A5AF1">
            <w:pPr>
              <w:pStyle w:val="ListParagraph"/>
              <w:numPr>
                <w:ilvl w:val="0"/>
                <w:numId w:val="17"/>
              </w:numPr>
              <w:tabs>
                <w:tab w:val="clear" w:pos="2835"/>
              </w:tabs>
              <w:ind w:left="357" w:hanging="357"/>
            </w:pPr>
            <w:r w:rsidRPr="003A5AF1">
              <w:t>On conclusion or expiry of the contract, update the estimate with the actual value, and provide minimum details corresponding to the value threshold for disclosure.</w:t>
            </w:r>
          </w:p>
        </w:tc>
      </w:tr>
      <w:tr w:rsidR="0025085D" w14:paraId="2BEE1319" w14:textId="77777777" w:rsidTr="00FE5588">
        <w:trPr>
          <w:trHeight w:val="454"/>
        </w:trPr>
        <w:tc>
          <w:tcPr>
            <w:tcW w:w="1334" w:type="pct"/>
            <w:vAlign w:val="center"/>
          </w:tcPr>
          <w:p w14:paraId="40A6149E" w14:textId="77777777" w:rsidR="0025085D" w:rsidRDefault="0025085D" w:rsidP="00FB611B">
            <w:r>
              <w:t>Trade-ins</w:t>
            </w:r>
          </w:p>
        </w:tc>
        <w:tc>
          <w:tcPr>
            <w:tcW w:w="3666" w:type="pct"/>
            <w:vAlign w:val="center"/>
          </w:tcPr>
          <w:p w14:paraId="3E71B9B4" w14:textId="77777777" w:rsidR="0025085D" w:rsidRDefault="0025085D" w:rsidP="003A5AF1">
            <w:pPr>
              <w:spacing w:before="120"/>
            </w:pPr>
            <w:r>
              <w:t>Where the total amount payable is reduced due to a trade-in, disclose the total contract value (including the trade-in value).</w:t>
            </w:r>
          </w:p>
        </w:tc>
      </w:tr>
    </w:tbl>
    <w:p w14:paraId="33D6A1F5" w14:textId="77777777" w:rsidR="0025085D" w:rsidRDefault="0025085D" w:rsidP="00953EB9"/>
    <w:tbl>
      <w:tblPr>
        <w:tblStyle w:val="TableGrid"/>
        <w:tblW w:w="5000" w:type="pct"/>
        <w:tblLook w:val="04A0" w:firstRow="1" w:lastRow="0" w:firstColumn="1" w:lastColumn="0" w:noHBand="0" w:noVBand="1"/>
      </w:tblPr>
      <w:tblGrid>
        <w:gridCol w:w="10478"/>
      </w:tblGrid>
      <w:tr w:rsidR="0025085D" w:rsidRPr="00E50CB1" w14:paraId="1DD07613" w14:textId="77777777" w:rsidTr="00555380">
        <w:trPr>
          <w:trHeight w:val="454"/>
        </w:trPr>
        <w:tc>
          <w:tcPr>
            <w:tcW w:w="5000" w:type="pct"/>
            <w:shd w:val="clear" w:color="auto" w:fill="0070C0"/>
            <w:vAlign w:val="center"/>
          </w:tcPr>
          <w:p w14:paraId="4C10065A" w14:textId="77777777" w:rsidR="0025085D" w:rsidRPr="00E50CB1" w:rsidRDefault="0025085D" w:rsidP="003A5AF1">
            <w:pPr>
              <w:spacing w:after="0"/>
              <w:rPr>
                <w:b/>
                <w:bCs/>
                <w:color w:val="FFFFFF" w:themeColor="background1"/>
              </w:rPr>
            </w:pPr>
            <w:r>
              <w:rPr>
                <w:b/>
                <w:bCs/>
                <w:color w:val="FFFFFF" w:themeColor="background1"/>
              </w:rPr>
              <w:t>Example: Contract with optional extensions</w:t>
            </w:r>
          </w:p>
        </w:tc>
      </w:tr>
      <w:tr w:rsidR="0025085D" w:rsidRPr="007E7200" w14:paraId="0B414355" w14:textId="77777777" w:rsidTr="00555380">
        <w:trPr>
          <w:trHeight w:val="371"/>
        </w:trPr>
        <w:tc>
          <w:tcPr>
            <w:tcW w:w="5000" w:type="pct"/>
            <w:vAlign w:val="center"/>
          </w:tcPr>
          <w:p w14:paraId="1C86EC8B" w14:textId="5E0FFEA2" w:rsidR="0025085D" w:rsidRDefault="0025085D" w:rsidP="003A5AF1">
            <w:pPr>
              <w:spacing w:before="120"/>
            </w:pPr>
            <w:r>
              <w:t xml:space="preserve">A contract for maintenance is awarded, incorporating a rate of $5,000 (incl. GST) per month over an initial period of three years with </w:t>
            </w:r>
            <w:r w:rsidR="007C7178">
              <w:t>a single</w:t>
            </w:r>
            <w:r>
              <w:t xml:space="preserve"> one-year extension option.</w:t>
            </w:r>
          </w:p>
          <w:p w14:paraId="5EB47EF5" w14:textId="77777777" w:rsidR="0025085D" w:rsidRDefault="0025085D" w:rsidP="00555380">
            <w:r>
              <w:t>Contract value to be disclosed is $180,000 (incl. GST) ($5,000 per month x 12 months x 3 years).</w:t>
            </w:r>
          </w:p>
          <w:p w14:paraId="3E5F4B85" w14:textId="77777777" w:rsidR="000B0BCE" w:rsidRDefault="00E27208" w:rsidP="00555380">
            <w:r>
              <w:t xml:space="preserve">Where the one-year extension option is exercised, </w:t>
            </w:r>
            <w:r w:rsidR="00FE65B4">
              <w:t xml:space="preserve">the contract value will increase to </w:t>
            </w:r>
            <w:r w:rsidR="005F3ED3">
              <w:t>$240,000 (incl. GST) ($180,000 + $60,000</w:t>
            </w:r>
            <w:r w:rsidR="003F3FF8">
              <w:t xml:space="preserve"> [comprised of $5,000 per month x 12 months]</w:t>
            </w:r>
            <w:r w:rsidR="005F3ED3">
              <w:t>)</w:t>
            </w:r>
            <w:r w:rsidR="003F3FF8">
              <w:t xml:space="preserve">. </w:t>
            </w:r>
          </w:p>
          <w:p w14:paraId="7F2D6323" w14:textId="20D51323" w:rsidR="00E27208" w:rsidRPr="007E7200" w:rsidRDefault="00EA5E8C" w:rsidP="002E7166">
            <w:r>
              <w:t>Th</w:t>
            </w:r>
            <w:r w:rsidR="00F776C2">
              <w:t>e new contract value</w:t>
            </w:r>
            <w:r w:rsidR="000B0BCE">
              <w:t xml:space="preserve"> should be disclosed</w:t>
            </w:r>
            <w:r w:rsidR="00F776C2">
              <w:t xml:space="preserve"> as this will be considered a material change to the contract.</w:t>
            </w:r>
          </w:p>
        </w:tc>
      </w:tr>
    </w:tbl>
    <w:p w14:paraId="61C0D30B" w14:textId="77777777" w:rsidR="0025085D" w:rsidRDefault="0025085D" w:rsidP="00953EB9"/>
    <w:tbl>
      <w:tblPr>
        <w:tblStyle w:val="TableGrid"/>
        <w:tblW w:w="5000" w:type="pct"/>
        <w:tblLook w:val="04A0" w:firstRow="1" w:lastRow="0" w:firstColumn="1" w:lastColumn="0" w:noHBand="0" w:noVBand="1"/>
      </w:tblPr>
      <w:tblGrid>
        <w:gridCol w:w="10478"/>
      </w:tblGrid>
      <w:tr w:rsidR="0025085D" w14:paraId="5759525A" w14:textId="77777777" w:rsidTr="00F83AE3">
        <w:trPr>
          <w:trHeight w:val="454"/>
        </w:trPr>
        <w:tc>
          <w:tcPr>
            <w:tcW w:w="5000" w:type="pct"/>
            <w:shd w:val="clear" w:color="auto" w:fill="0070C0"/>
            <w:vAlign w:val="center"/>
          </w:tcPr>
          <w:p w14:paraId="76EF59EA" w14:textId="77777777" w:rsidR="0025085D" w:rsidRPr="00E50CB1" w:rsidRDefault="0025085D" w:rsidP="003A5AF1">
            <w:pPr>
              <w:spacing w:after="0"/>
              <w:rPr>
                <w:b/>
                <w:bCs/>
                <w:color w:val="FFFFFF" w:themeColor="background1"/>
              </w:rPr>
            </w:pPr>
            <w:r>
              <w:rPr>
                <w:b/>
                <w:bCs/>
                <w:color w:val="FFFFFF" w:themeColor="background1"/>
              </w:rPr>
              <w:t>Example: Common-use supply arrangement</w:t>
            </w:r>
          </w:p>
        </w:tc>
      </w:tr>
      <w:tr w:rsidR="0025085D" w14:paraId="20F98067" w14:textId="77777777" w:rsidTr="00F83AE3">
        <w:trPr>
          <w:trHeight w:val="371"/>
        </w:trPr>
        <w:tc>
          <w:tcPr>
            <w:tcW w:w="5000" w:type="pct"/>
            <w:vAlign w:val="center"/>
          </w:tcPr>
          <w:p w14:paraId="18B939B7" w14:textId="1F12CDAE" w:rsidR="0025085D" w:rsidRDefault="0025085D" w:rsidP="003A5AF1">
            <w:pPr>
              <w:spacing w:before="120"/>
            </w:pPr>
            <w:r>
              <w:t>Agency X establishes a common-use supply arrangement for the provision of certain goods and services. Agency X uses information gathered from the demand analysis and offer process to estimate that, over the initial three-year term of the arrangement, spend</w:t>
            </w:r>
            <w:r w:rsidR="00C22B6C">
              <w:t xml:space="preserve"> will be</w:t>
            </w:r>
            <w:r>
              <w:t xml:space="preserve"> approximately $12M (incl. GST) under the arrangement.</w:t>
            </w:r>
          </w:p>
          <w:p w14:paraId="1BD638B5" w14:textId="77777777" w:rsidR="0025085D" w:rsidRDefault="0025085D" w:rsidP="00F83AE3">
            <w:r>
              <w:lastRenderedPageBreak/>
              <w:t>Within 60 days of execution of the deed, Agency X discloses details of the common-use supply arrangement, including the estimated value of the arrangement over the initial term ($12M) noting that this amount is an estimate, and that the final value of the arrangement will be reported within 60 days of its expiry.</w:t>
            </w:r>
          </w:p>
          <w:p w14:paraId="2C49A988" w14:textId="77777777" w:rsidR="0025085D" w:rsidRPr="007E7200" w:rsidRDefault="0025085D" w:rsidP="00F83AE3">
            <w:r>
              <w:t xml:space="preserve">Subsequently, Agency Y </w:t>
            </w:r>
            <w:proofErr w:type="gramStart"/>
            <w:r>
              <w:t>enters into</w:t>
            </w:r>
            <w:proofErr w:type="gramEnd"/>
            <w:r>
              <w:t xml:space="preserve"> a contract valued at $80,000 (incl. GST) with a supplier listed on the arrangement. Agency Y is required to disclose basic details of the contract within 60 days of contract award.</w:t>
            </w:r>
          </w:p>
        </w:tc>
      </w:tr>
    </w:tbl>
    <w:p w14:paraId="10358564" w14:textId="77777777" w:rsidR="0025085D" w:rsidRDefault="0025085D" w:rsidP="006E3F6A">
      <w:pPr>
        <w:pStyle w:val="Heading2"/>
      </w:pPr>
      <w:bookmarkStart w:id="8" w:name="_Toc228863365"/>
      <w:r>
        <w:lastRenderedPageBreak/>
        <w:t>Legally binding contract subject to disclosure</w:t>
      </w:r>
      <w:bookmarkEnd w:id="8"/>
    </w:p>
    <w:p w14:paraId="704B0E10" w14:textId="77777777" w:rsidR="0025085D" w:rsidRDefault="0025085D" w:rsidP="00CF63D0">
      <w:r>
        <w:t>All legally binding contracts and common-use supply arrangements established through a procurement are within scope of the disclosure obligations unless they are the subject of an exclusion.</w:t>
      </w:r>
    </w:p>
    <w:tbl>
      <w:tblPr>
        <w:tblStyle w:val="TableGrid"/>
        <w:tblW w:w="5000" w:type="pct"/>
        <w:tblLook w:val="04A0" w:firstRow="1" w:lastRow="0" w:firstColumn="1" w:lastColumn="0" w:noHBand="0" w:noVBand="1"/>
      </w:tblPr>
      <w:tblGrid>
        <w:gridCol w:w="10478"/>
      </w:tblGrid>
      <w:tr w:rsidR="0025085D" w14:paraId="3EB17B57" w14:textId="77777777" w:rsidTr="005E017B">
        <w:trPr>
          <w:trHeight w:val="454"/>
        </w:trPr>
        <w:tc>
          <w:tcPr>
            <w:tcW w:w="5000" w:type="pct"/>
            <w:shd w:val="clear" w:color="auto" w:fill="0070C0"/>
            <w:vAlign w:val="center"/>
          </w:tcPr>
          <w:p w14:paraId="0A67799F" w14:textId="77777777" w:rsidR="0025085D" w:rsidRPr="00E50CB1" w:rsidRDefault="0025085D" w:rsidP="003A5AF1">
            <w:pPr>
              <w:spacing w:after="0"/>
              <w:rPr>
                <w:b/>
                <w:bCs/>
                <w:color w:val="FFFFFF" w:themeColor="background1"/>
              </w:rPr>
            </w:pPr>
            <w:r>
              <w:rPr>
                <w:b/>
                <w:bCs/>
                <w:color w:val="FFFFFF" w:themeColor="background1"/>
              </w:rPr>
              <w:t>Note: Legally binding contract</w:t>
            </w:r>
          </w:p>
        </w:tc>
      </w:tr>
      <w:tr w:rsidR="0025085D" w14:paraId="152CFAC9" w14:textId="77777777" w:rsidTr="007009BA">
        <w:trPr>
          <w:trHeight w:val="371"/>
        </w:trPr>
        <w:tc>
          <w:tcPr>
            <w:tcW w:w="5000" w:type="pct"/>
            <w:vAlign w:val="center"/>
          </w:tcPr>
          <w:p w14:paraId="39D58362" w14:textId="0F08BD08" w:rsidR="0025085D" w:rsidRDefault="0025085D" w:rsidP="003A5AF1">
            <w:pPr>
              <w:spacing w:before="120"/>
            </w:pPr>
            <w:r>
              <w:t>A contract must include all the following elements to be legally binding:</w:t>
            </w:r>
          </w:p>
          <w:p w14:paraId="4F1E2B14" w14:textId="219B2E85" w:rsidR="0025085D" w:rsidRDefault="0025085D" w:rsidP="0025085D">
            <w:pPr>
              <w:pStyle w:val="ListParagraph"/>
              <w:numPr>
                <w:ilvl w:val="0"/>
                <w:numId w:val="18"/>
              </w:numPr>
              <w:tabs>
                <w:tab w:val="clear" w:pos="2835"/>
              </w:tabs>
              <w:spacing w:after="0"/>
            </w:pPr>
            <w:r>
              <w:t>Offer</w:t>
            </w:r>
            <w:r w:rsidR="002E7166">
              <w:t>.</w:t>
            </w:r>
          </w:p>
          <w:p w14:paraId="53678E5C" w14:textId="3AEDA207" w:rsidR="0025085D" w:rsidRDefault="0025085D" w:rsidP="0025085D">
            <w:pPr>
              <w:pStyle w:val="ListParagraph"/>
              <w:numPr>
                <w:ilvl w:val="0"/>
                <w:numId w:val="18"/>
              </w:numPr>
              <w:tabs>
                <w:tab w:val="clear" w:pos="2835"/>
              </w:tabs>
              <w:spacing w:after="0"/>
            </w:pPr>
            <w:r>
              <w:t>Acceptance</w:t>
            </w:r>
            <w:r w:rsidR="002E7166">
              <w:t>.</w:t>
            </w:r>
          </w:p>
          <w:p w14:paraId="46CD2F12" w14:textId="4D8361A9" w:rsidR="0025085D" w:rsidRDefault="0025085D" w:rsidP="0025085D">
            <w:pPr>
              <w:pStyle w:val="ListParagraph"/>
              <w:numPr>
                <w:ilvl w:val="0"/>
                <w:numId w:val="18"/>
              </w:numPr>
              <w:tabs>
                <w:tab w:val="clear" w:pos="2835"/>
              </w:tabs>
              <w:spacing w:after="0"/>
            </w:pPr>
            <w:r>
              <w:t>Consideration</w:t>
            </w:r>
            <w:r w:rsidR="002E7166">
              <w:t>.</w:t>
            </w:r>
          </w:p>
          <w:p w14:paraId="4893A29A" w14:textId="1BFF683C" w:rsidR="0025085D" w:rsidRDefault="0025085D" w:rsidP="0025085D">
            <w:pPr>
              <w:pStyle w:val="ListParagraph"/>
              <w:numPr>
                <w:ilvl w:val="0"/>
                <w:numId w:val="18"/>
              </w:numPr>
              <w:tabs>
                <w:tab w:val="clear" w:pos="2835"/>
              </w:tabs>
              <w:spacing w:after="0"/>
            </w:pPr>
            <w:r>
              <w:t>Intention to create legal relations</w:t>
            </w:r>
            <w:r w:rsidR="002E7166">
              <w:t>.</w:t>
            </w:r>
          </w:p>
          <w:p w14:paraId="62D1B859" w14:textId="64948EA1" w:rsidR="0025085D" w:rsidRDefault="0025085D" w:rsidP="0025085D">
            <w:pPr>
              <w:pStyle w:val="ListParagraph"/>
              <w:numPr>
                <w:ilvl w:val="0"/>
                <w:numId w:val="18"/>
              </w:numPr>
              <w:tabs>
                <w:tab w:val="clear" w:pos="2835"/>
              </w:tabs>
              <w:spacing w:after="0"/>
            </w:pPr>
            <w:r>
              <w:t xml:space="preserve">Both parties have capacity to </w:t>
            </w:r>
            <w:proofErr w:type="gramStart"/>
            <w:r>
              <w:t>enter into</w:t>
            </w:r>
            <w:proofErr w:type="gramEnd"/>
            <w:r>
              <w:t xml:space="preserve"> the contract</w:t>
            </w:r>
            <w:r w:rsidR="002E7166">
              <w:t>.</w:t>
            </w:r>
          </w:p>
          <w:p w14:paraId="229A1656" w14:textId="77777777" w:rsidR="0025085D" w:rsidRDefault="0025085D" w:rsidP="0025085D">
            <w:pPr>
              <w:pStyle w:val="ListParagraph"/>
              <w:numPr>
                <w:ilvl w:val="0"/>
                <w:numId w:val="18"/>
              </w:numPr>
              <w:tabs>
                <w:tab w:val="clear" w:pos="2835"/>
              </w:tabs>
              <w:spacing w:after="0"/>
            </w:pPr>
            <w:r>
              <w:t>Legality (i.e. the purpose of the contract is not illegal).</w:t>
            </w:r>
          </w:p>
          <w:p w14:paraId="179DA0C2" w14:textId="77777777" w:rsidR="0025085D" w:rsidRPr="007E7200" w:rsidRDefault="0025085D" w:rsidP="003A5AF1">
            <w:pPr>
              <w:spacing w:before="120"/>
            </w:pPr>
            <w:r>
              <w:t>If in doubt whether your contract is legally binding, please seek legal advice.</w:t>
            </w:r>
          </w:p>
        </w:tc>
      </w:tr>
    </w:tbl>
    <w:p w14:paraId="3DF719C7" w14:textId="77777777" w:rsidR="0025085D" w:rsidRDefault="0025085D" w:rsidP="00CF63D0"/>
    <w:tbl>
      <w:tblPr>
        <w:tblStyle w:val="TableGrid"/>
        <w:tblW w:w="5000" w:type="pct"/>
        <w:tblLook w:val="04A0" w:firstRow="1" w:lastRow="0" w:firstColumn="1" w:lastColumn="0" w:noHBand="0" w:noVBand="1"/>
      </w:tblPr>
      <w:tblGrid>
        <w:gridCol w:w="10478"/>
      </w:tblGrid>
      <w:tr w:rsidR="00F13126" w:rsidRPr="00E50CB1" w:rsidDel="004B13E0" w14:paraId="00B052F8" w14:textId="77777777" w:rsidTr="00002A82">
        <w:trPr>
          <w:trHeight w:val="454"/>
        </w:trPr>
        <w:tc>
          <w:tcPr>
            <w:tcW w:w="5000" w:type="pct"/>
            <w:shd w:val="clear" w:color="auto" w:fill="0070C0"/>
            <w:vAlign w:val="center"/>
          </w:tcPr>
          <w:p w14:paraId="69DDE53D" w14:textId="77777777" w:rsidR="00F13126" w:rsidRPr="00E50CB1" w:rsidDel="004B13E0" w:rsidRDefault="00F13126" w:rsidP="003A5AF1">
            <w:pPr>
              <w:spacing w:after="0"/>
              <w:rPr>
                <w:b/>
                <w:bCs/>
                <w:color w:val="FFFFFF" w:themeColor="background1"/>
              </w:rPr>
            </w:pPr>
            <w:r w:rsidDel="004B13E0">
              <w:rPr>
                <w:b/>
                <w:bCs/>
                <w:color w:val="FFFFFF" w:themeColor="background1"/>
              </w:rPr>
              <w:t>Note: Common-use supply arrangements</w:t>
            </w:r>
          </w:p>
        </w:tc>
      </w:tr>
      <w:tr w:rsidR="00F13126" w:rsidRPr="007E7200" w:rsidDel="004B13E0" w14:paraId="47E2FF65" w14:textId="77777777" w:rsidTr="00002A82">
        <w:trPr>
          <w:trHeight w:val="371"/>
        </w:trPr>
        <w:tc>
          <w:tcPr>
            <w:tcW w:w="5000" w:type="pct"/>
            <w:vAlign w:val="center"/>
          </w:tcPr>
          <w:p w14:paraId="076BA699" w14:textId="6FFA11C0" w:rsidR="000D5576" w:rsidRPr="007E7200" w:rsidDel="004B13E0" w:rsidRDefault="00F13126" w:rsidP="003A5AF1">
            <w:pPr>
              <w:spacing w:before="120"/>
            </w:pPr>
            <w:r w:rsidDel="004B13E0">
              <w:t xml:space="preserve">While the term ‘common-use supply arrangement’ is defined in the Glossary </w:t>
            </w:r>
            <w:r w:rsidR="00BB7253">
              <w:t xml:space="preserve">of the </w:t>
            </w:r>
            <w:r w:rsidDel="004B13E0">
              <w:t>QPP</w:t>
            </w:r>
            <w:r w:rsidR="00BB7253">
              <w:t xml:space="preserve"> 2026</w:t>
            </w:r>
            <w:r w:rsidDel="004B13E0">
              <w:t>, for the purpose of this guide only, this term excludes pre-qualified supplier panels.</w:t>
            </w:r>
          </w:p>
        </w:tc>
      </w:tr>
    </w:tbl>
    <w:p w14:paraId="4BA4B837" w14:textId="77777777" w:rsidR="0025085D" w:rsidRDefault="0025085D" w:rsidP="003A5AF1">
      <w:pPr>
        <w:spacing w:before="120"/>
      </w:pPr>
      <w:r>
        <w:t>The disclosure obligations apply regardless of the form that the contract takes. For example, it does not matter whether it is made under seal (also known as a deed) or is a simple contract (which can be verbal, written, or a combination of both).</w:t>
      </w:r>
    </w:p>
    <w:p w14:paraId="093BF66B" w14:textId="77777777" w:rsidR="0025085D" w:rsidRDefault="0025085D" w:rsidP="00CF63D0">
      <w:r w:rsidRPr="00621858">
        <w:rPr>
          <w:b/>
          <w:bCs/>
        </w:rPr>
        <w:t>Table 3</w:t>
      </w:r>
      <w:r>
        <w:t xml:space="preserve"> below outlines contracts that are in-scope or out of scope of disclosure obligations.</w:t>
      </w:r>
    </w:p>
    <w:p w14:paraId="5C691194" w14:textId="77777777" w:rsidR="0025085D" w:rsidRPr="00621858" w:rsidRDefault="0025085D" w:rsidP="00CF63D0">
      <w:pPr>
        <w:rPr>
          <w:sz w:val="18"/>
          <w:szCs w:val="20"/>
        </w:rPr>
      </w:pPr>
      <w:r w:rsidRPr="00621858">
        <w:rPr>
          <w:b/>
          <w:bCs/>
          <w:sz w:val="18"/>
          <w:szCs w:val="20"/>
        </w:rPr>
        <w:t>Table 3:</w:t>
      </w:r>
      <w:r w:rsidRPr="00621858">
        <w:rPr>
          <w:sz w:val="18"/>
          <w:szCs w:val="20"/>
        </w:rPr>
        <w:t xml:space="preserve"> In-scope and out of scope contracts for disclosure </w:t>
      </w:r>
    </w:p>
    <w:tbl>
      <w:tblPr>
        <w:tblStyle w:val="TableGrid"/>
        <w:tblW w:w="5000" w:type="pct"/>
        <w:tblLook w:val="04A0" w:firstRow="1" w:lastRow="0" w:firstColumn="1" w:lastColumn="0" w:noHBand="0" w:noVBand="1"/>
      </w:tblPr>
      <w:tblGrid>
        <w:gridCol w:w="1643"/>
        <w:gridCol w:w="8835"/>
      </w:tblGrid>
      <w:tr w:rsidR="0025085D" w14:paraId="224A9F9E" w14:textId="77777777" w:rsidTr="001B7FFD">
        <w:trPr>
          <w:trHeight w:val="454"/>
        </w:trPr>
        <w:tc>
          <w:tcPr>
            <w:tcW w:w="784" w:type="pct"/>
            <w:shd w:val="clear" w:color="auto" w:fill="0070C0"/>
            <w:vAlign w:val="center"/>
          </w:tcPr>
          <w:p w14:paraId="45D44923" w14:textId="77777777" w:rsidR="0025085D" w:rsidRPr="00E50CB1" w:rsidRDefault="0025085D" w:rsidP="003A5AF1">
            <w:pPr>
              <w:spacing w:after="0"/>
              <w:jc w:val="center"/>
              <w:rPr>
                <w:b/>
                <w:bCs/>
                <w:color w:val="FFFFFF" w:themeColor="background1"/>
              </w:rPr>
            </w:pPr>
            <w:r>
              <w:rPr>
                <w:b/>
                <w:bCs/>
                <w:color w:val="FFFFFF" w:themeColor="background1"/>
              </w:rPr>
              <w:t>Disclosure</w:t>
            </w:r>
          </w:p>
        </w:tc>
        <w:tc>
          <w:tcPr>
            <w:tcW w:w="4216" w:type="pct"/>
            <w:shd w:val="clear" w:color="auto" w:fill="0070C0"/>
            <w:vAlign w:val="center"/>
          </w:tcPr>
          <w:p w14:paraId="7C068C8B" w14:textId="77777777" w:rsidR="0025085D" w:rsidRPr="00E50CB1" w:rsidRDefault="0025085D" w:rsidP="003A5AF1">
            <w:pPr>
              <w:spacing w:after="0"/>
              <w:jc w:val="center"/>
              <w:rPr>
                <w:b/>
                <w:bCs/>
                <w:color w:val="FFFFFF" w:themeColor="background1"/>
              </w:rPr>
            </w:pPr>
            <w:r>
              <w:rPr>
                <w:b/>
                <w:bCs/>
                <w:color w:val="FFFFFF" w:themeColor="background1"/>
              </w:rPr>
              <w:t>Contract type</w:t>
            </w:r>
          </w:p>
        </w:tc>
      </w:tr>
      <w:tr w:rsidR="0025085D" w14:paraId="4F99D96B" w14:textId="77777777" w:rsidTr="001B7FFD">
        <w:trPr>
          <w:trHeight w:val="371"/>
        </w:trPr>
        <w:tc>
          <w:tcPr>
            <w:tcW w:w="784" w:type="pct"/>
            <w:vAlign w:val="center"/>
          </w:tcPr>
          <w:p w14:paraId="23DA3243" w14:textId="77777777" w:rsidR="0025085D" w:rsidRDefault="0025085D" w:rsidP="00753813">
            <w:r>
              <w:t>In-scope</w:t>
            </w:r>
          </w:p>
        </w:tc>
        <w:tc>
          <w:tcPr>
            <w:tcW w:w="4216" w:type="pct"/>
            <w:vAlign w:val="center"/>
          </w:tcPr>
          <w:p w14:paraId="04C70138" w14:textId="3E97254D" w:rsidR="0025085D" w:rsidRPr="00835648" w:rsidRDefault="0025085D" w:rsidP="003A5AF1">
            <w:pPr>
              <w:pStyle w:val="ListParagraph"/>
              <w:numPr>
                <w:ilvl w:val="0"/>
                <w:numId w:val="14"/>
              </w:numPr>
              <w:tabs>
                <w:tab w:val="clear" w:pos="2835"/>
              </w:tabs>
              <w:spacing w:before="120" w:after="0"/>
              <w:ind w:left="357" w:hanging="357"/>
            </w:pPr>
            <w:r>
              <w:t>Procurement of goods and/or services (including contractor and consultancy services, capital works and construction services)</w:t>
            </w:r>
            <w:r w:rsidR="002E7166">
              <w:t>.</w:t>
            </w:r>
          </w:p>
          <w:p w14:paraId="618682C1" w14:textId="35F63C49" w:rsidR="0025085D" w:rsidRDefault="0025085D" w:rsidP="0025085D">
            <w:pPr>
              <w:pStyle w:val="ListParagraph"/>
              <w:numPr>
                <w:ilvl w:val="0"/>
                <w:numId w:val="14"/>
              </w:numPr>
              <w:tabs>
                <w:tab w:val="clear" w:pos="2835"/>
              </w:tabs>
              <w:spacing w:after="0"/>
            </w:pPr>
            <w:r>
              <w:t>Establishment of common-use supply arrangements</w:t>
            </w:r>
            <w:r w:rsidR="002E7166">
              <w:t>.</w:t>
            </w:r>
          </w:p>
          <w:p w14:paraId="005315E9" w14:textId="5745CCBB" w:rsidR="0025085D" w:rsidRDefault="0025085D" w:rsidP="0025085D">
            <w:pPr>
              <w:pStyle w:val="ListParagraph"/>
              <w:numPr>
                <w:ilvl w:val="0"/>
                <w:numId w:val="14"/>
              </w:numPr>
              <w:tabs>
                <w:tab w:val="clear" w:pos="2835"/>
              </w:tabs>
              <w:spacing w:after="0"/>
            </w:pPr>
            <w:r>
              <w:t>Contracts made under common-use supply arrangements (e.g. by issuing a purchase order under an arrangement’s terms and conditions)</w:t>
            </w:r>
            <w:r w:rsidR="002E7166">
              <w:t>.</w:t>
            </w:r>
          </w:p>
          <w:p w14:paraId="0E7C3F6C" w14:textId="18B2661E" w:rsidR="0025085D" w:rsidRPr="00835648" w:rsidRDefault="0025085D" w:rsidP="003A5AF1">
            <w:pPr>
              <w:pStyle w:val="ListParagraph"/>
              <w:numPr>
                <w:ilvl w:val="0"/>
                <w:numId w:val="14"/>
              </w:numPr>
              <w:tabs>
                <w:tab w:val="clear" w:pos="2835"/>
              </w:tabs>
              <w:ind w:left="357" w:hanging="357"/>
            </w:pPr>
            <w:r>
              <w:t>Where a payment is made by corporate card for goods and/or services over $10,000 (including GST), and no corresponding contract (e.g. purchase order) is raised and disclosed, then the corporate card transaction is in-scope for disclosure</w:t>
            </w:r>
            <w:r w:rsidR="002E7166">
              <w:t>.</w:t>
            </w:r>
          </w:p>
        </w:tc>
      </w:tr>
      <w:tr w:rsidR="0025085D" w14:paraId="481B15B9" w14:textId="77777777" w:rsidTr="001B7FFD">
        <w:trPr>
          <w:trHeight w:val="454"/>
        </w:trPr>
        <w:tc>
          <w:tcPr>
            <w:tcW w:w="784" w:type="pct"/>
            <w:vAlign w:val="center"/>
          </w:tcPr>
          <w:p w14:paraId="5C36B524" w14:textId="77777777" w:rsidR="0025085D" w:rsidRDefault="0025085D" w:rsidP="00753813">
            <w:r>
              <w:t>Out of scope</w:t>
            </w:r>
          </w:p>
        </w:tc>
        <w:tc>
          <w:tcPr>
            <w:tcW w:w="4216" w:type="pct"/>
            <w:vAlign w:val="center"/>
          </w:tcPr>
          <w:p w14:paraId="39D01F3D" w14:textId="477ED70F" w:rsidR="0025085D" w:rsidRPr="003A5AF1" w:rsidRDefault="0025085D" w:rsidP="003A5AF1">
            <w:pPr>
              <w:pStyle w:val="ListParagraph"/>
              <w:numPr>
                <w:ilvl w:val="0"/>
                <w:numId w:val="15"/>
              </w:numPr>
              <w:tabs>
                <w:tab w:val="clear" w:pos="2835"/>
              </w:tabs>
              <w:spacing w:before="120" w:after="0"/>
              <w:ind w:left="357" w:hanging="357"/>
            </w:pPr>
            <w:r w:rsidRPr="003A5AF1">
              <w:t xml:space="preserve">Where expenditure is not considered to be procurement as per the definition of ‘procurement’ in the </w:t>
            </w:r>
            <w:hyperlink r:id="rId26" w:history="1">
              <w:r w:rsidR="0029318B">
                <w:rPr>
                  <w:rStyle w:val="Hyperlink"/>
                </w:rPr>
                <w:t>Glossary of the QPP 2026</w:t>
              </w:r>
            </w:hyperlink>
            <w:r w:rsidR="0029318B">
              <w:t>.</w:t>
            </w:r>
          </w:p>
          <w:p w14:paraId="004B35FD" w14:textId="131BC6E6" w:rsidR="0025085D" w:rsidRPr="002871E4" w:rsidRDefault="0025085D" w:rsidP="0025085D">
            <w:pPr>
              <w:pStyle w:val="ListParagraph"/>
              <w:numPr>
                <w:ilvl w:val="0"/>
                <w:numId w:val="15"/>
              </w:numPr>
              <w:tabs>
                <w:tab w:val="clear" w:pos="2835"/>
              </w:tabs>
              <w:spacing w:after="0"/>
            </w:pPr>
            <w:r>
              <w:t>Intragovernmental transactions (e.g. procurement with commercialised government business units)</w:t>
            </w:r>
            <w:r w:rsidR="0029318B">
              <w:t>.</w:t>
            </w:r>
          </w:p>
          <w:p w14:paraId="6062E1AE" w14:textId="439B743D" w:rsidR="0025085D" w:rsidRDefault="0025085D" w:rsidP="0025085D">
            <w:pPr>
              <w:pStyle w:val="ListParagraph"/>
              <w:numPr>
                <w:ilvl w:val="0"/>
                <w:numId w:val="15"/>
              </w:numPr>
              <w:tabs>
                <w:tab w:val="clear" w:pos="2835"/>
              </w:tabs>
              <w:spacing w:after="0"/>
            </w:pPr>
            <w:r>
              <w:t>List of suppliers established following a pre-qualification process (e.g. Prequalification (PQC) system for building industry contractors)</w:t>
            </w:r>
            <w:r w:rsidR="0029318B">
              <w:t>.</w:t>
            </w:r>
          </w:p>
          <w:p w14:paraId="4C78C7F3" w14:textId="4E787756" w:rsidR="0025085D" w:rsidRDefault="0025085D" w:rsidP="0025085D">
            <w:pPr>
              <w:pStyle w:val="ListParagraph"/>
              <w:numPr>
                <w:ilvl w:val="0"/>
                <w:numId w:val="15"/>
              </w:numPr>
              <w:tabs>
                <w:tab w:val="clear" w:pos="2835"/>
              </w:tabs>
              <w:spacing w:after="0"/>
            </w:pPr>
            <w:r>
              <w:t>Sponsorship payments</w:t>
            </w:r>
            <w:r w:rsidR="0029318B">
              <w:t>.</w:t>
            </w:r>
          </w:p>
          <w:p w14:paraId="509B812E" w14:textId="7EC6A579" w:rsidR="0025085D" w:rsidRDefault="0025085D" w:rsidP="0025085D">
            <w:pPr>
              <w:pStyle w:val="ListParagraph"/>
              <w:numPr>
                <w:ilvl w:val="0"/>
                <w:numId w:val="15"/>
              </w:numPr>
              <w:tabs>
                <w:tab w:val="clear" w:pos="2835"/>
              </w:tabs>
              <w:spacing w:after="0"/>
            </w:pPr>
            <w:r>
              <w:t>Milestone payments to suppliers, where the contract (total contract value) has already been disclosed</w:t>
            </w:r>
            <w:r w:rsidR="0029318B">
              <w:t>.</w:t>
            </w:r>
          </w:p>
          <w:p w14:paraId="78B79B9F" w14:textId="0F1F0DCF" w:rsidR="0025085D" w:rsidRDefault="0025085D" w:rsidP="0025085D">
            <w:pPr>
              <w:pStyle w:val="ListParagraph"/>
              <w:numPr>
                <w:ilvl w:val="0"/>
                <w:numId w:val="15"/>
              </w:numPr>
              <w:tabs>
                <w:tab w:val="clear" w:pos="2835"/>
              </w:tabs>
              <w:spacing w:after="0"/>
            </w:pPr>
            <w:r>
              <w:t>Payments received by agencies for the disposal of assets or the sale of land</w:t>
            </w:r>
            <w:r w:rsidR="0029318B">
              <w:t>.</w:t>
            </w:r>
          </w:p>
          <w:p w14:paraId="36DA21C4" w14:textId="3113D2F7" w:rsidR="0025085D" w:rsidRDefault="0025085D" w:rsidP="0025085D">
            <w:pPr>
              <w:pStyle w:val="ListParagraph"/>
              <w:numPr>
                <w:ilvl w:val="0"/>
                <w:numId w:val="15"/>
              </w:numPr>
              <w:tabs>
                <w:tab w:val="clear" w:pos="2835"/>
              </w:tabs>
              <w:spacing w:after="0"/>
            </w:pPr>
            <w:r>
              <w:lastRenderedPageBreak/>
              <w:t>Incidental transactions in connection with a contract for goods and/or services not related to the contract payment (e.g. where a refund of administrative fees is necessary to correct an overcharging error)</w:t>
            </w:r>
            <w:r w:rsidR="0029318B">
              <w:t>.</w:t>
            </w:r>
          </w:p>
          <w:p w14:paraId="694E318B" w14:textId="3ED73B90" w:rsidR="0025085D" w:rsidRDefault="0025085D" w:rsidP="0025085D">
            <w:pPr>
              <w:pStyle w:val="ListParagraph"/>
              <w:numPr>
                <w:ilvl w:val="0"/>
                <w:numId w:val="15"/>
              </w:numPr>
              <w:tabs>
                <w:tab w:val="clear" w:pos="2835"/>
              </w:tabs>
              <w:spacing w:after="0"/>
            </w:pPr>
            <w:r>
              <w:t>Payments to corporate card providers for amounts due (i.e. administrative fees)</w:t>
            </w:r>
            <w:r w:rsidR="0029318B">
              <w:t>.</w:t>
            </w:r>
          </w:p>
          <w:p w14:paraId="77CF9D6D" w14:textId="0B0A0EC2" w:rsidR="0025085D" w:rsidRDefault="0025085D" w:rsidP="0025085D">
            <w:pPr>
              <w:pStyle w:val="ListParagraph"/>
              <w:numPr>
                <w:ilvl w:val="0"/>
                <w:numId w:val="15"/>
              </w:numPr>
              <w:tabs>
                <w:tab w:val="clear" w:pos="2835"/>
              </w:tabs>
              <w:spacing w:after="0"/>
            </w:pPr>
            <w:r>
              <w:t>Periodic payments such as monthly invoices under contracts already disclosed (e.g. payment of invoices for utilities such as water and electricity)</w:t>
            </w:r>
            <w:r w:rsidR="0029318B">
              <w:t>.</w:t>
            </w:r>
          </w:p>
          <w:p w14:paraId="72D74911" w14:textId="65D3BA7B" w:rsidR="0025085D" w:rsidRPr="002E493F" w:rsidRDefault="0025085D" w:rsidP="003A5AF1">
            <w:pPr>
              <w:pStyle w:val="ListParagraph"/>
              <w:numPr>
                <w:ilvl w:val="0"/>
                <w:numId w:val="15"/>
              </w:numPr>
              <w:tabs>
                <w:tab w:val="clear" w:pos="2835"/>
              </w:tabs>
              <w:ind w:left="357" w:hanging="357"/>
            </w:pPr>
            <w:r>
              <w:t>Payments established in law for which there is no discretion (e.g. taxation payments and payments of local government rates)</w:t>
            </w:r>
            <w:r w:rsidR="0029318B">
              <w:t>.</w:t>
            </w:r>
          </w:p>
        </w:tc>
      </w:tr>
    </w:tbl>
    <w:p w14:paraId="521D407C" w14:textId="77777777" w:rsidR="0025085D" w:rsidRDefault="0025085D" w:rsidP="00CF63D0"/>
    <w:tbl>
      <w:tblPr>
        <w:tblStyle w:val="TableGrid"/>
        <w:tblW w:w="5000" w:type="pct"/>
        <w:tblLook w:val="04A0" w:firstRow="1" w:lastRow="0" w:firstColumn="1" w:lastColumn="0" w:noHBand="0" w:noVBand="1"/>
      </w:tblPr>
      <w:tblGrid>
        <w:gridCol w:w="10478"/>
      </w:tblGrid>
      <w:tr w:rsidR="0025085D" w:rsidRPr="00E50CB1" w14:paraId="5DE847E5" w14:textId="77777777" w:rsidTr="00753813">
        <w:trPr>
          <w:trHeight w:val="454"/>
        </w:trPr>
        <w:tc>
          <w:tcPr>
            <w:tcW w:w="5000" w:type="pct"/>
            <w:shd w:val="clear" w:color="auto" w:fill="0070C0"/>
            <w:vAlign w:val="center"/>
          </w:tcPr>
          <w:p w14:paraId="5AC8A17E" w14:textId="77777777" w:rsidR="0025085D" w:rsidRPr="00E50CB1" w:rsidRDefault="0025085D" w:rsidP="003A5AF1">
            <w:pPr>
              <w:spacing w:after="0"/>
              <w:rPr>
                <w:b/>
                <w:bCs/>
                <w:color w:val="FFFFFF" w:themeColor="background1"/>
              </w:rPr>
            </w:pPr>
            <w:r>
              <w:rPr>
                <w:b/>
                <w:bCs/>
                <w:color w:val="FFFFFF" w:themeColor="background1"/>
              </w:rPr>
              <w:t>Note: Intragovernmental transactions</w:t>
            </w:r>
          </w:p>
        </w:tc>
      </w:tr>
      <w:tr w:rsidR="0025085D" w:rsidRPr="007E7200" w14:paraId="1BFD5127" w14:textId="77777777" w:rsidTr="00753813">
        <w:trPr>
          <w:trHeight w:val="371"/>
        </w:trPr>
        <w:tc>
          <w:tcPr>
            <w:tcW w:w="5000" w:type="pct"/>
            <w:vAlign w:val="center"/>
          </w:tcPr>
          <w:p w14:paraId="331B1653" w14:textId="77777777" w:rsidR="0025085D" w:rsidRDefault="0025085D" w:rsidP="003A5AF1">
            <w:pPr>
              <w:spacing w:before="120"/>
            </w:pPr>
            <w:proofErr w:type="gramStart"/>
            <w:r>
              <w:t>For the purpose of</w:t>
            </w:r>
            <w:proofErr w:type="gramEnd"/>
            <w:r>
              <w:t xml:space="preserve"> this guide only, ‘intragovernmental’ means transactions within Queensland Government and does not include other levels of government (i.e. the Australian Government, local governments and other state and territory governments). </w:t>
            </w:r>
          </w:p>
          <w:p w14:paraId="3E27E808" w14:textId="77777777" w:rsidR="0025085D" w:rsidRPr="007E7200" w:rsidRDefault="0025085D" w:rsidP="00F96AA3">
            <w:r>
              <w:t xml:space="preserve">Letters of intent or memoranda of understanding do not usually form legally binding </w:t>
            </w:r>
            <w:proofErr w:type="gramStart"/>
            <w:r>
              <w:t>contracts, but</w:t>
            </w:r>
            <w:proofErr w:type="gramEnd"/>
            <w:r>
              <w:t xml:space="preserve"> may inadvertently take on the status of reportable contracts if all the elements of a legally binding contract exist.</w:t>
            </w:r>
          </w:p>
        </w:tc>
      </w:tr>
    </w:tbl>
    <w:p w14:paraId="0D2C0657" w14:textId="77777777" w:rsidR="0077204F" w:rsidRDefault="0077204F" w:rsidP="003A5AF1"/>
    <w:tbl>
      <w:tblPr>
        <w:tblStyle w:val="TableGrid"/>
        <w:tblW w:w="5000" w:type="pct"/>
        <w:tblLook w:val="04A0" w:firstRow="1" w:lastRow="0" w:firstColumn="1" w:lastColumn="0" w:noHBand="0" w:noVBand="1"/>
      </w:tblPr>
      <w:tblGrid>
        <w:gridCol w:w="10478"/>
      </w:tblGrid>
      <w:tr w:rsidR="0077204F" w:rsidRPr="00E50CB1" w14:paraId="483E450C" w14:textId="77777777" w:rsidTr="0086010F">
        <w:trPr>
          <w:trHeight w:val="454"/>
        </w:trPr>
        <w:tc>
          <w:tcPr>
            <w:tcW w:w="5000" w:type="pct"/>
            <w:shd w:val="clear" w:color="auto" w:fill="0070C0"/>
            <w:vAlign w:val="center"/>
          </w:tcPr>
          <w:p w14:paraId="6EA19782" w14:textId="69F576D7" w:rsidR="0077204F" w:rsidRPr="00E50CB1" w:rsidRDefault="0077204F" w:rsidP="0086010F">
            <w:pPr>
              <w:spacing w:after="0"/>
              <w:rPr>
                <w:b/>
                <w:bCs/>
                <w:color w:val="FFFFFF" w:themeColor="background1"/>
              </w:rPr>
            </w:pPr>
            <w:r>
              <w:rPr>
                <w:b/>
                <w:bCs/>
                <w:color w:val="FFFFFF" w:themeColor="background1"/>
              </w:rPr>
              <w:t>Note: Leases</w:t>
            </w:r>
          </w:p>
        </w:tc>
      </w:tr>
      <w:tr w:rsidR="0077204F" w:rsidRPr="007E7200" w14:paraId="48B29699" w14:textId="77777777" w:rsidTr="0086010F">
        <w:trPr>
          <w:trHeight w:val="371"/>
        </w:trPr>
        <w:tc>
          <w:tcPr>
            <w:tcW w:w="5000" w:type="pct"/>
            <w:vAlign w:val="center"/>
          </w:tcPr>
          <w:p w14:paraId="21948BC3" w14:textId="77777777" w:rsidR="00AD0815" w:rsidRDefault="00AD0815" w:rsidP="00AD0815">
            <w:pPr>
              <w:spacing w:before="120"/>
            </w:pPr>
            <w:r w:rsidRPr="00AD0815">
              <w:t>There are two Queensland Government policies which should be referred to for scope and requirements, including disclosure and reporting obligations, when a lease is used:</w:t>
            </w:r>
          </w:p>
          <w:p w14:paraId="6AA4D614" w14:textId="03D35C3E" w:rsidR="00AD0815" w:rsidRDefault="00AD0815" w:rsidP="00AD0815">
            <w:pPr>
              <w:pStyle w:val="ListParagraph"/>
              <w:numPr>
                <w:ilvl w:val="0"/>
                <w:numId w:val="54"/>
              </w:numPr>
              <w:spacing w:before="120"/>
            </w:pPr>
            <w:r w:rsidRPr="00AD0815">
              <w:t xml:space="preserve">For requirements regarding property leases, refer to the </w:t>
            </w:r>
            <w:hyperlink r:id="rId27" w:history="1">
              <w:r w:rsidRPr="00026D00">
                <w:rPr>
                  <w:rStyle w:val="Hyperlink"/>
                </w:rPr>
                <w:t>Queensland Government Land Transaction Policy</w:t>
              </w:r>
            </w:hyperlink>
            <w:r w:rsidRPr="00AD0815">
              <w:t>.</w:t>
            </w:r>
          </w:p>
          <w:p w14:paraId="46DA887A" w14:textId="791C6FF8" w:rsidR="0077204F" w:rsidRPr="007E7200" w:rsidRDefault="00AD0815" w:rsidP="003A5AF1">
            <w:pPr>
              <w:pStyle w:val="ListParagraph"/>
              <w:numPr>
                <w:ilvl w:val="0"/>
                <w:numId w:val="54"/>
              </w:numPr>
              <w:spacing w:before="120"/>
            </w:pPr>
            <w:r w:rsidRPr="00AD0815">
              <w:t xml:space="preserve">Where leases are used to acquire or use assets, refer to the </w:t>
            </w:r>
            <w:hyperlink r:id="rId28" w:history="1">
              <w:r w:rsidRPr="004D2BB4">
                <w:rPr>
                  <w:rStyle w:val="Hyperlink"/>
                </w:rPr>
                <w:t>Queensland Leasing Approval Policy for Public Sector Entities</w:t>
              </w:r>
            </w:hyperlink>
            <w:r w:rsidRPr="00AD0815">
              <w:t xml:space="preserve"> for scope and requirements. The policy also contains references to documents which govern the reporting of leases.</w:t>
            </w:r>
          </w:p>
        </w:tc>
      </w:tr>
    </w:tbl>
    <w:p w14:paraId="2CE904AC" w14:textId="77777777" w:rsidR="004D2BB4" w:rsidRDefault="004D2BB4" w:rsidP="004D2BB4">
      <w:pPr>
        <w:rPr>
          <w:lang w:val="en-GB"/>
        </w:rPr>
      </w:pPr>
    </w:p>
    <w:p w14:paraId="7B731198" w14:textId="77777777" w:rsidR="0025085D" w:rsidRDefault="0025085D" w:rsidP="00653BA5">
      <w:pPr>
        <w:pStyle w:val="Heading1"/>
      </w:pPr>
      <w:bookmarkStart w:id="9" w:name="_Material_change_to"/>
      <w:bookmarkStart w:id="10" w:name="_Toc228863366"/>
      <w:bookmarkEnd w:id="9"/>
      <w:r>
        <w:t>Material change to a contract</w:t>
      </w:r>
      <w:bookmarkEnd w:id="10"/>
    </w:p>
    <w:p w14:paraId="0876F5EC" w14:textId="77777777" w:rsidR="0025085D" w:rsidRDefault="0025085D" w:rsidP="00CF63D0">
      <w:r>
        <w:t>Where a contract has already been disclosed, further disclosure is required where the contract is later ‘materially changed’, by either:</w:t>
      </w:r>
    </w:p>
    <w:p w14:paraId="56C52265" w14:textId="77777777" w:rsidR="0025085D" w:rsidRDefault="0025085D" w:rsidP="0025085D">
      <w:pPr>
        <w:pStyle w:val="ListParagraph"/>
        <w:numPr>
          <w:ilvl w:val="0"/>
          <w:numId w:val="19"/>
        </w:numPr>
        <w:tabs>
          <w:tab w:val="clear" w:pos="2835"/>
        </w:tabs>
        <w:spacing w:after="60"/>
      </w:pPr>
      <w:r>
        <w:t>updating the original disclosure; or</w:t>
      </w:r>
    </w:p>
    <w:p w14:paraId="63C5575A" w14:textId="77777777" w:rsidR="0025085D" w:rsidRDefault="0025085D" w:rsidP="003A5AF1">
      <w:pPr>
        <w:pStyle w:val="ListParagraph"/>
        <w:numPr>
          <w:ilvl w:val="0"/>
          <w:numId w:val="19"/>
        </w:numPr>
        <w:tabs>
          <w:tab w:val="clear" w:pos="2835"/>
        </w:tabs>
        <w:ind w:left="771" w:hanging="357"/>
      </w:pPr>
      <w:r>
        <w:t>making a new disclosure which clearly references the original disclosure.</w:t>
      </w:r>
    </w:p>
    <w:tbl>
      <w:tblPr>
        <w:tblStyle w:val="TableGrid"/>
        <w:tblW w:w="5000" w:type="pct"/>
        <w:tblLook w:val="04A0" w:firstRow="1" w:lastRow="0" w:firstColumn="1" w:lastColumn="0" w:noHBand="0" w:noVBand="1"/>
      </w:tblPr>
      <w:tblGrid>
        <w:gridCol w:w="10478"/>
      </w:tblGrid>
      <w:tr w:rsidR="0025085D" w:rsidRPr="004B13E0" w14:paraId="4B019E7D" w14:textId="77777777" w:rsidTr="0015285E">
        <w:trPr>
          <w:trHeight w:val="454"/>
        </w:trPr>
        <w:tc>
          <w:tcPr>
            <w:tcW w:w="5000" w:type="pct"/>
            <w:shd w:val="clear" w:color="auto" w:fill="0070C0"/>
            <w:vAlign w:val="center"/>
          </w:tcPr>
          <w:p w14:paraId="51267274" w14:textId="77777777" w:rsidR="0025085D" w:rsidRPr="004B13E0" w:rsidRDefault="0025085D" w:rsidP="003A5AF1">
            <w:pPr>
              <w:spacing w:after="0"/>
              <w:rPr>
                <w:b/>
                <w:bCs/>
                <w:color w:val="FFFFFF" w:themeColor="background1"/>
              </w:rPr>
            </w:pPr>
            <w:r w:rsidRPr="004B13E0">
              <w:rPr>
                <w:b/>
                <w:bCs/>
                <w:color w:val="FFFFFF" w:themeColor="background1"/>
              </w:rPr>
              <w:t>Note: Updating original disclosure</w:t>
            </w:r>
          </w:p>
        </w:tc>
      </w:tr>
      <w:tr w:rsidR="0025085D" w:rsidRPr="003A5AF1" w14:paraId="1B6DD0E2" w14:textId="77777777" w:rsidTr="0015285E">
        <w:trPr>
          <w:trHeight w:val="371"/>
        </w:trPr>
        <w:tc>
          <w:tcPr>
            <w:tcW w:w="5000" w:type="pct"/>
            <w:vAlign w:val="center"/>
          </w:tcPr>
          <w:p w14:paraId="1829ECCA" w14:textId="77777777" w:rsidR="0025085D" w:rsidRPr="003A5AF1" w:rsidRDefault="0025085D" w:rsidP="003A5AF1">
            <w:pPr>
              <w:autoSpaceDE w:val="0"/>
              <w:autoSpaceDN w:val="0"/>
              <w:adjustRightInd w:val="0"/>
              <w:spacing w:before="120"/>
              <w:rPr>
                <w:rFonts w:cs="Arial"/>
                <w:szCs w:val="20"/>
              </w:rPr>
            </w:pPr>
            <w:r w:rsidRPr="003A5AF1">
              <w:rPr>
                <w:rFonts w:cs="Arial"/>
                <w:szCs w:val="20"/>
              </w:rPr>
              <w:t>Where the original disclosure cannot be amended, make a new entry in the Contract disclosure file clearly referencing the original disclosure and reflect all additional information required.</w:t>
            </w:r>
          </w:p>
        </w:tc>
      </w:tr>
    </w:tbl>
    <w:p w14:paraId="01241E51" w14:textId="77777777" w:rsidR="0025085D" w:rsidRPr="003A5AF1" w:rsidRDefault="0025085D" w:rsidP="003A5AF1">
      <w:pPr>
        <w:spacing w:before="120"/>
      </w:pPr>
      <w:r w:rsidRPr="003A5AF1">
        <w:t>A material change is defined as either:</w:t>
      </w:r>
    </w:p>
    <w:p w14:paraId="61ABB3AF" w14:textId="77777777" w:rsidR="0025085D" w:rsidRPr="003A5AF1" w:rsidRDefault="0025085D" w:rsidP="0025085D">
      <w:pPr>
        <w:pStyle w:val="ListParagraph"/>
        <w:numPr>
          <w:ilvl w:val="0"/>
          <w:numId w:val="20"/>
        </w:numPr>
        <w:tabs>
          <w:tab w:val="clear" w:pos="2835"/>
        </w:tabs>
        <w:spacing w:after="60"/>
      </w:pPr>
      <w:r w:rsidRPr="003A5AF1">
        <w:t>a change in a contract’s value equal to or exceeding $10,000 (including GST), including where the cumulative impact of multiple variations equals to or exceeds this amount; or</w:t>
      </w:r>
    </w:p>
    <w:p w14:paraId="13192B80" w14:textId="77777777" w:rsidR="0025085D" w:rsidRPr="003A5AF1" w:rsidRDefault="0025085D" w:rsidP="003A5AF1">
      <w:pPr>
        <w:pStyle w:val="ListParagraph"/>
        <w:numPr>
          <w:ilvl w:val="0"/>
          <w:numId w:val="20"/>
        </w:numPr>
        <w:tabs>
          <w:tab w:val="clear" w:pos="2835"/>
        </w:tabs>
        <w:ind w:left="714" w:hanging="357"/>
      </w:pPr>
      <w:r w:rsidRPr="003A5AF1">
        <w:t>any other change to the information already disclosed.</w:t>
      </w:r>
    </w:p>
    <w:tbl>
      <w:tblPr>
        <w:tblStyle w:val="TableGrid"/>
        <w:tblW w:w="5000" w:type="pct"/>
        <w:tblLook w:val="04A0" w:firstRow="1" w:lastRow="0" w:firstColumn="1" w:lastColumn="0" w:noHBand="0" w:noVBand="1"/>
      </w:tblPr>
      <w:tblGrid>
        <w:gridCol w:w="10478"/>
      </w:tblGrid>
      <w:tr w:rsidR="0025085D" w14:paraId="67B8472C" w14:textId="77777777" w:rsidTr="00F83AE3">
        <w:trPr>
          <w:trHeight w:val="454"/>
        </w:trPr>
        <w:tc>
          <w:tcPr>
            <w:tcW w:w="5000" w:type="pct"/>
            <w:shd w:val="clear" w:color="auto" w:fill="0070C0"/>
            <w:vAlign w:val="center"/>
          </w:tcPr>
          <w:p w14:paraId="5C8EA762" w14:textId="77777777" w:rsidR="0025085D" w:rsidRPr="00E50CB1" w:rsidRDefault="0025085D" w:rsidP="003A5AF1">
            <w:pPr>
              <w:spacing w:after="0"/>
              <w:rPr>
                <w:b/>
                <w:bCs/>
                <w:color w:val="FFFFFF" w:themeColor="background1"/>
              </w:rPr>
            </w:pPr>
            <w:r>
              <w:rPr>
                <w:b/>
                <w:bCs/>
                <w:color w:val="FFFFFF" w:themeColor="background1"/>
              </w:rPr>
              <w:t>Examples: Material change to contract value</w:t>
            </w:r>
          </w:p>
        </w:tc>
      </w:tr>
      <w:tr w:rsidR="0025085D" w14:paraId="571BD5D8" w14:textId="77777777" w:rsidTr="00F83AE3">
        <w:trPr>
          <w:trHeight w:val="371"/>
        </w:trPr>
        <w:tc>
          <w:tcPr>
            <w:tcW w:w="5000" w:type="pct"/>
            <w:vAlign w:val="center"/>
          </w:tcPr>
          <w:p w14:paraId="238F4465" w14:textId="77777777" w:rsidR="0025085D" w:rsidRPr="009A2588" w:rsidRDefault="0025085D" w:rsidP="003A5AF1">
            <w:pPr>
              <w:spacing w:before="120"/>
              <w:rPr>
                <w:b/>
                <w:bCs/>
                <w:szCs w:val="20"/>
              </w:rPr>
            </w:pPr>
            <w:r w:rsidRPr="009A2588">
              <w:rPr>
                <w:b/>
                <w:bCs/>
                <w:szCs w:val="20"/>
              </w:rPr>
              <w:t>Agency A</w:t>
            </w:r>
          </w:p>
          <w:p w14:paraId="4A3F8F43" w14:textId="3220D598" w:rsidR="0025085D" w:rsidRPr="00F96AA3" w:rsidRDefault="0025085D" w:rsidP="003A5AF1">
            <w:pPr>
              <w:spacing w:before="120" w:after="0"/>
              <w:rPr>
                <w:szCs w:val="20"/>
              </w:rPr>
            </w:pPr>
            <w:r w:rsidRPr="00F96AA3">
              <w:rPr>
                <w:szCs w:val="20"/>
              </w:rPr>
              <w:t xml:space="preserve">Agency A </w:t>
            </w:r>
            <w:proofErr w:type="gramStart"/>
            <w:r w:rsidRPr="00F96AA3">
              <w:rPr>
                <w:szCs w:val="20"/>
              </w:rPr>
              <w:t>enters into</w:t>
            </w:r>
            <w:proofErr w:type="gramEnd"/>
            <w:r w:rsidRPr="00F96AA3">
              <w:rPr>
                <w:szCs w:val="20"/>
              </w:rPr>
              <w:t xml:space="preserve"> a contract for the supply of goods valued at $23,000 (incl. GST). Basic contract details are disclosed within 60 days of contract award</w:t>
            </w:r>
            <w:r w:rsidR="005877D9" w:rsidRPr="00F96AA3">
              <w:rPr>
                <w:szCs w:val="20"/>
              </w:rPr>
              <w:t>.</w:t>
            </w:r>
          </w:p>
          <w:p w14:paraId="0367DC81" w14:textId="39A6ED7F" w:rsidR="0025085D" w:rsidRPr="00F96AA3" w:rsidRDefault="0025085D" w:rsidP="003A5AF1">
            <w:pPr>
              <w:spacing w:before="120" w:after="0"/>
              <w:rPr>
                <w:szCs w:val="20"/>
              </w:rPr>
            </w:pPr>
            <w:r w:rsidRPr="00F96AA3">
              <w:rPr>
                <w:szCs w:val="20"/>
              </w:rPr>
              <w:t>The contract is subsequently varied and the total contract value increases to $30,000 (incl. GST). This variation is not required to be reported as it does not exceed $10,000</w:t>
            </w:r>
            <w:r w:rsidR="005877D9" w:rsidRPr="00F96AA3">
              <w:rPr>
                <w:szCs w:val="20"/>
              </w:rPr>
              <w:t>.</w:t>
            </w:r>
          </w:p>
          <w:p w14:paraId="4282E833" w14:textId="400DF803" w:rsidR="0025085D" w:rsidRPr="00F96AA3" w:rsidRDefault="0025085D" w:rsidP="003A5AF1">
            <w:pPr>
              <w:spacing w:before="120" w:after="0"/>
              <w:rPr>
                <w:szCs w:val="20"/>
              </w:rPr>
            </w:pPr>
            <w:r w:rsidRPr="00F96AA3">
              <w:rPr>
                <w:szCs w:val="20"/>
              </w:rPr>
              <w:t>No further action is required by Agency A</w:t>
            </w:r>
            <w:r w:rsidR="005877D9" w:rsidRPr="00F96AA3">
              <w:rPr>
                <w:szCs w:val="20"/>
              </w:rPr>
              <w:t>.</w:t>
            </w:r>
          </w:p>
          <w:p w14:paraId="74649DE4" w14:textId="77777777" w:rsidR="0025085D" w:rsidRPr="009A2588" w:rsidRDefault="0025085D" w:rsidP="003A5AF1">
            <w:pPr>
              <w:autoSpaceDE w:val="0"/>
              <w:autoSpaceDN w:val="0"/>
              <w:adjustRightInd w:val="0"/>
              <w:spacing w:before="120"/>
              <w:rPr>
                <w:b/>
                <w:bCs/>
                <w:szCs w:val="20"/>
              </w:rPr>
            </w:pPr>
            <w:r w:rsidRPr="009A2588">
              <w:rPr>
                <w:b/>
                <w:bCs/>
                <w:szCs w:val="20"/>
              </w:rPr>
              <w:lastRenderedPageBreak/>
              <w:t>Agency B</w:t>
            </w:r>
          </w:p>
          <w:p w14:paraId="530A3873" w14:textId="77777777" w:rsidR="0025085D" w:rsidRPr="00F96AA3" w:rsidRDefault="0025085D" w:rsidP="003A5AF1">
            <w:pPr>
              <w:spacing w:before="120" w:after="0"/>
              <w:rPr>
                <w:rFonts w:cs="Arial"/>
                <w:szCs w:val="20"/>
              </w:rPr>
            </w:pPr>
            <w:r w:rsidRPr="00F96AA3">
              <w:rPr>
                <w:szCs w:val="20"/>
              </w:rPr>
              <w:t xml:space="preserve">Agency B </w:t>
            </w:r>
            <w:proofErr w:type="gramStart"/>
            <w:r w:rsidRPr="00F96AA3">
              <w:rPr>
                <w:rFonts w:cs="Arial"/>
                <w:szCs w:val="20"/>
              </w:rPr>
              <w:t>enters into</w:t>
            </w:r>
            <w:proofErr w:type="gramEnd"/>
            <w:r w:rsidRPr="00F96AA3">
              <w:rPr>
                <w:rFonts w:cs="Arial"/>
                <w:szCs w:val="20"/>
              </w:rPr>
              <w:t xml:space="preserve"> a contract for the supply of maintenance services valued at $200,000 (incl. GST). </w:t>
            </w:r>
          </w:p>
          <w:p w14:paraId="4A248119" w14:textId="77777777" w:rsidR="0025085D" w:rsidRPr="00F96AA3" w:rsidRDefault="0025085D" w:rsidP="003A5AF1">
            <w:pPr>
              <w:spacing w:before="120" w:after="0"/>
              <w:rPr>
                <w:szCs w:val="20"/>
              </w:rPr>
            </w:pPr>
            <w:r w:rsidRPr="00F96AA3">
              <w:rPr>
                <w:szCs w:val="20"/>
              </w:rPr>
              <w:t xml:space="preserve">The contract is subsequently varied and the total contract value increases to $235,000 (incl. GST). </w:t>
            </w:r>
          </w:p>
          <w:p w14:paraId="4C97AB46" w14:textId="257C3447" w:rsidR="00F96AA3" w:rsidRPr="00F96AA3" w:rsidRDefault="0025085D" w:rsidP="003A5AF1">
            <w:pPr>
              <w:spacing w:before="120" w:after="0"/>
              <w:rPr>
                <w:szCs w:val="20"/>
              </w:rPr>
            </w:pPr>
            <w:r w:rsidRPr="00F96AA3">
              <w:rPr>
                <w:szCs w:val="20"/>
              </w:rPr>
              <w:t>This variation is reportable as the variation exceeds $10,000 of the contract value initially reported.</w:t>
            </w:r>
          </w:p>
          <w:p w14:paraId="249B8CE9" w14:textId="71563ED0" w:rsidR="00F96AA3" w:rsidRPr="00F96AA3" w:rsidRDefault="0025085D" w:rsidP="003A5AF1">
            <w:pPr>
              <w:spacing w:before="120" w:after="0"/>
              <w:rPr>
                <w:szCs w:val="20"/>
              </w:rPr>
            </w:pPr>
            <w:r w:rsidRPr="00F96AA3">
              <w:rPr>
                <w:szCs w:val="20"/>
              </w:rPr>
              <w:t>Within 60 days, Agency B can either:</w:t>
            </w:r>
          </w:p>
          <w:p w14:paraId="7082B706" w14:textId="1655AD75" w:rsidR="009D1C79" w:rsidRPr="00F96AA3" w:rsidRDefault="0025085D" w:rsidP="003A5AF1">
            <w:pPr>
              <w:pStyle w:val="ListParagraph"/>
              <w:numPr>
                <w:ilvl w:val="0"/>
                <w:numId w:val="29"/>
              </w:numPr>
              <w:tabs>
                <w:tab w:val="clear" w:pos="2835"/>
              </w:tabs>
              <w:spacing w:before="120" w:after="0"/>
              <w:ind w:left="357" w:hanging="357"/>
            </w:pPr>
            <w:r w:rsidRPr="00F96AA3">
              <w:t>access the original disclosure and update it to reflect the variation</w:t>
            </w:r>
          </w:p>
          <w:p w14:paraId="5E49FA7F" w14:textId="77777777" w:rsidR="0025085D" w:rsidRPr="00F96AA3" w:rsidRDefault="0025085D" w:rsidP="003A5AF1">
            <w:pPr>
              <w:pStyle w:val="ListParagraph"/>
              <w:numPr>
                <w:ilvl w:val="0"/>
                <w:numId w:val="29"/>
              </w:numPr>
              <w:tabs>
                <w:tab w:val="clear" w:pos="2835"/>
              </w:tabs>
              <w:spacing w:before="120"/>
              <w:ind w:left="357" w:hanging="357"/>
              <w:rPr>
                <w:rFonts w:cs="Arial"/>
                <w:szCs w:val="20"/>
              </w:rPr>
            </w:pPr>
            <w:r w:rsidRPr="00F96AA3">
              <w:t>report the disclosure as a new record.</w:t>
            </w:r>
          </w:p>
        </w:tc>
      </w:tr>
    </w:tbl>
    <w:p w14:paraId="0C4D64BF" w14:textId="77777777" w:rsidR="0025085D" w:rsidRDefault="0025085D" w:rsidP="003A5AF1">
      <w:pPr>
        <w:spacing w:before="120"/>
      </w:pPr>
      <w:r>
        <w:lastRenderedPageBreak/>
        <w:t xml:space="preserve">This material change may occur for </w:t>
      </w:r>
      <w:proofErr w:type="gramStart"/>
      <w:r>
        <w:t>a number of</w:t>
      </w:r>
      <w:proofErr w:type="gramEnd"/>
      <w:r>
        <w:t xml:space="preserve"> reasons, including exercising extension options or if there is a change in the contract’s scope of works, and is </w:t>
      </w:r>
      <w:proofErr w:type="gramStart"/>
      <w:r>
        <w:t>effected</w:t>
      </w:r>
      <w:proofErr w:type="gramEnd"/>
      <w:r>
        <w:t xml:space="preserve"> through a contract variation. </w:t>
      </w:r>
    </w:p>
    <w:p w14:paraId="101EAB23" w14:textId="77777777" w:rsidR="0025085D" w:rsidRPr="003A5AF1" w:rsidRDefault="0025085D">
      <w:r>
        <w:t xml:space="preserve">For changes to contracts that do not relate to contract value, you should use professional judgement and document whether, in the circumstances, the changes represent a material change to the contract and should therefore, be </w:t>
      </w:r>
      <w:r w:rsidRPr="003A5AF1">
        <w:t xml:space="preserve">reflected in an update to the initial information disclosed. </w:t>
      </w:r>
    </w:p>
    <w:p w14:paraId="03981697" w14:textId="10328DEC" w:rsidR="0025085D" w:rsidRPr="003A5AF1" w:rsidRDefault="0025085D">
      <w:r w:rsidRPr="003A5AF1">
        <w:t>Consider the nature, scale and impact of the change – e.g. have new suppliers been added, existing suppliers removed, extensions or significant changes in agreed deliverables, or change to a material contract term or condition.</w:t>
      </w:r>
    </w:p>
    <w:p w14:paraId="7CA74D28" w14:textId="77777777" w:rsidR="0025085D" w:rsidRDefault="0025085D">
      <w:r w:rsidRPr="003A5AF1">
        <w:t>It is generally good practice to disclose when in doubt as transparency supports audit readiness and builds public trust.</w:t>
      </w:r>
    </w:p>
    <w:p w14:paraId="3948017A" w14:textId="77777777" w:rsidR="0025085D" w:rsidRDefault="0025085D" w:rsidP="00356E94">
      <w:r w:rsidRPr="00C13585">
        <w:rPr>
          <w:b/>
          <w:bCs/>
        </w:rPr>
        <w:t>Table 4</w:t>
      </w:r>
      <w:r>
        <w:t xml:space="preserve"> below provides general guidance on how material changes should be addressed for some unique situations.</w:t>
      </w:r>
    </w:p>
    <w:p w14:paraId="1A6D683C" w14:textId="77777777" w:rsidR="0025085D" w:rsidRPr="00C13585" w:rsidRDefault="0025085D" w:rsidP="00356E94">
      <w:pPr>
        <w:rPr>
          <w:sz w:val="18"/>
          <w:szCs w:val="20"/>
        </w:rPr>
      </w:pPr>
      <w:r w:rsidRPr="00C13585">
        <w:rPr>
          <w:b/>
          <w:bCs/>
          <w:sz w:val="18"/>
          <w:szCs w:val="20"/>
        </w:rPr>
        <w:t>Table 4:</w:t>
      </w:r>
      <w:r w:rsidRPr="00C13585">
        <w:rPr>
          <w:sz w:val="18"/>
          <w:szCs w:val="20"/>
        </w:rPr>
        <w:t xml:space="preserve"> Addressing material changes</w:t>
      </w:r>
    </w:p>
    <w:tbl>
      <w:tblPr>
        <w:tblStyle w:val="TableGrid"/>
        <w:tblW w:w="5000" w:type="pct"/>
        <w:tblLook w:val="04A0" w:firstRow="1" w:lastRow="0" w:firstColumn="1" w:lastColumn="0" w:noHBand="0" w:noVBand="1"/>
      </w:tblPr>
      <w:tblGrid>
        <w:gridCol w:w="2796"/>
        <w:gridCol w:w="7682"/>
      </w:tblGrid>
      <w:tr w:rsidR="0025085D" w14:paraId="2F3BE16E" w14:textId="77777777" w:rsidTr="00753813">
        <w:trPr>
          <w:trHeight w:val="454"/>
        </w:trPr>
        <w:tc>
          <w:tcPr>
            <w:tcW w:w="1334" w:type="pct"/>
            <w:shd w:val="clear" w:color="auto" w:fill="0070C0"/>
            <w:vAlign w:val="center"/>
          </w:tcPr>
          <w:p w14:paraId="72448123" w14:textId="77777777" w:rsidR="0025085D" w:rsidRPr="00E50CB1" w:rsidRDefault="0025085D" w:rsidP="003A5AF1">
            <w:pPr>
              <w:spacing w:after="0"/>
              <w:jc w:val="center"/>
              <w:rPr>
                <w:b/>
                <w:bCs/>
                <w:color w:val="FFFFFF" w:themeColor="background1"/>
              </w:rPr>
            </w:pPr>
            <w:r>
              <w:rPr>
                <w:b/>
                <w:bCs/>
                <w:color w:val="FFFFFF" w:themeColor="background1"/>
              </w:rPr>
              <w:t>Situation</w:t>
            </w:r>
          </w:p>
        </w:tc>
        <w:tc>
          <w:tcPr>
            <w:tcW w:w="3666" w:type="pct"/>
            <w:shd w:val="clear" w:color="auto" w:fill="0070C0"/>
            <w:vAlign w:val="center"/>
          </w:tcPr>
          <w:p w14:paraId="491B1686" w14:textId="77777777" w:rsidR="0025085D" w:rsidRPr="00E50CB1" w:rsidRDefault="0025085D" w:rsidP="003A5AF1">
            <w:pPr>
              <w:spacing w:after="0"/>
              <w:jc w:val="center"/>
              <w:rPr>
                <w:b/>
                <w:bCs/>
                <w:color w:val="FFFFFF" w:themeColor="background1"/>
              </w:rPr>
            </w:pPr>
            <w:r>
              <w:rPr>
                <w:b/>
                <w:bCs/>
                <w:color w:val="FFFFFF" w:themeColor="background1"/>
              </w:rPr>
              <w:t>General guidance</w:t>
            </w:r>
          </w:p>
        </w:tc>
      </w:tr>
      <w:tr w:rsidR="0025085D" w14:paraId="58A16430" w14:textId="77777777" w:rsidTr="00753813">
        <w:trPr>
          <w:trHeight w:val="371"/>
        </w:trPr>
        <w:tc>
          <w:tcPr>
            <w:tcW w:w="1334" w:type="pct"/>
            <w:vAlign w:val="center"/>
          </w:tcPr>
          <w:p w14:paraId="27440F21" w14:textId="77777777" w:rsidR="0025085D" w:rsidRDefault="0025085D" w:rsidP="003A5AF1">
            <w:pPr>
              <w:spacing w:before="120"/>
            </w:pPr>
            <w:r>
              <w:t>Common-use supply arrangements</w:t>
            </w:r>
          </w:p>
        </w:tc>
        <w:tc>
          <w:tcPr>
            <w:tcW w:w="3666" w:type="pct"/>
            <w:vAlign w:val="center"/>
          </w:tcPr>
          <w:p w14:paraId="79053A7A" w14:textId="3C089C6B" w:rsidR="0025085D" w:rsidRPr="00C13585" w:rsidRDefault="0025085D" w:rsidP="003A5AF1">
            <w:pPr>
              <w:spacing w:before="120"/>
            </w:pPr>
            <w:r>
              <w:t>Update disclosed information where suppliers are added or removed from the arrangement, regardless of the reason for the supplier’s addition or removal</w:t>
            </w:r>
            <w:r w:rsidR="005877D9">
              <w:t>.</w:t>
            </w:r>
          </w:p>
        </w:tc>
      </w:tr>
      <w:tr w:rsidR="0025085D" w14:paraId="760217A0" w14:textId="77777777" w:rsidTr="00753813">
        <w:trPr>
          <w:trHeight w:val="454"/>
        </w:trPr>
        <w:tc>
          <w:tcPr>
            <w:tcW w:w="1334" w:type="pct"/>
            <w:vAlign w:val="center"/>
          </w:tcPr>
          <w:p w14:paraId="428D67AB" w14:textId="77777777" w:rsidR="0025085D" w:rsidRDefault="0025085D" w:rsidP="00753813">
            <w:r>
              <w:t>Capital works construction contracts</w:t>
            </w:r>
          </w:p>
        </w:tc>
        <w:tc>
          <w:tcPr>
            <w:tcW w:w="3666" w:type="pct"/>
            <w:vAlign w:val="center"/>
          </w:tcPr>
          <w:p w14:paraId="2DF31A60" w14:textId="18F9EABC" w:rsidR="0025085D" w:rsidRDefault="0025085D" w:rsidP="003A5AF1">
            <w:pPr>
              <w:spacing w:before="120"/>
            </w:pPr>
            <w:r>
              <w:t xml:space="preserve">Material variations to these contracts typically occur throughout the duration of a </w:t>
            </w:r>
            <w:proofErr w:type="gramStart"/>
            <w:r>
              <w:t>contract, and</w:t>
            </w:r>
            <w:proofErr w:type="gramEnd"/>
            <w:r>
              <w:t xml:space="preserve"> can potentially number into the hundreds. This can include planned but not specified works, application of contingencies, or to address errors and omissions in design or documentation.</w:t>
            </w:r>
          </w:p>
          <w:p w14:paraId="6247A6B2" w14:textId="77777777" w:rsidR="0025085D" w:rsidRDefault="0025085D" w:rsidP="00FB375A">
            <w:r>
              <w:t>For these contracts:</w:t>
            </w:r>
          </w:p>
          <w:p w14:paraId="71D2E1FD" w14:textId="77777777" w:rsidR="0025085D" w:rsidRDefault="0025085D" w:rsidP="0025085D">
            <w:pPr>
              <w:pStyle w:val="ListParagraph"/>
              <w:numPr>
                <w:ilvl w:val="0"/>
                <w:numId w:val="21"/>
              </w:numPr>
              <w:tabs>
                <w:tab w:val="clear" w:pos="2835"/>
              </w:tabs>
              <w:spacing w:after="0"/>
            </w:pPr>
            <w:r>
              <w:t>disclose the contract value at the time of contract award, noting that any variations will be disclosed upon the issuing of the final certificate of completion</w:t>
            </w:r>
          </w:p>
          <w:p w14:paraId="42349342" w14:textId="725C65D1" w:rsidR="0025085D" w:rsidRPr="00691EB9" w:rsidRDefault="0025085D" w:rsidP="003A5AF1">
            <w:pPr>
              <w:pStyle w:val="ListParagraph"/>
              <w:numPr>
                <w:ilvl w:val="0"/>
                <w:numId w:val="21"/>
              </w:numPr>
              <w:tabs>
                <w:tab w:val="clear" w:pos="2835"/>
              </w:tabs>
              <w:ind w:left="357" w:hanging="357"/>
            </w:pPr>
            <w:r>
              <w:t xml:space="preserve">disclose the final value, </w:t>
            </w:r>
            <w:proofErr w:type="gramStart"/>
            <w:r>
              <w:t>taking into account</w:t>
            </w:r>
            <w:proofErr w:type="gramEnd"/>
            <w:r>
              <w:t xml:space="preserve"> all variations, following the final certificate of completion being issued</w:t>
            </w:r>
            <w:r w:rsidR="005877D9">
              <w:t>.</w:t>
            </w:r>
          </w:p>
        </w:tc>
      </w:tr>
    </w:tbl>
    <w:p w14:paraId="4F37F55D" w14:textId="77777777" w:rsidR="0025085D" w:rsidRDefault="0025085D" w:rsidP="00653BA5">
      <w:pPr>
        <w:pStyle w:val="Heading1"/>
      </w:pPr>
      <w:bookmarkStart w:id="11" w:name="_Identify_and_record"/>
      <w:bookmarkStart w:id="12" w:name="_Toc228863367"/>
      <w:bookmarkEnd w:id="11"/>
      <w:r>
        <w:t>Identify and record if there are any reasons why disclosure should not occur</w:t>
      </w:r>
      <w:bookmarkEnd w:id="12"/>
    </w:p>
    <w:p w14:paraId="30CCD7BD" w14:textId="77777777" w:rsidR="0025085D" w:rsidRDefault="0025085D" w:rsidP="00560A7B">
      <w:r>
        <w:t xml:space="preserve">There may be genuine situations where disclosure cannot occur (e.g. it may not be legally possible, disclosure may be contrary to the public interest). Any decision to disclose (or not disclose) should be informed by a consideration of the </w:t>
      </w:r>
      <w:r w:rsidRPr="00D178CB">
        <w:rPr>
          <w:i/>
          <w:iCs/>
        </w:rPr>
        <w:t>Right to Information Act 2009</w:t>
      </w:r>
      <w:r>
        <w:rPr>
          <w:i/>
          <w:iCs/>
        </w:rPr>
        <w:t xml:space="preserve"> </w:t>
      </w:r>
      <w:r>
        <w:t xml:space="preserve">(RTI Act), </w:t>
      </w:r>
      <w:r w:rsidRPr="00D178CB">
        <w:rPr>
          <w:i/>
          <w:iCs/>
        </w:rPr>
        <w:t>Information Privacy Act 2009</w:t>
      </w:r>
      <w:r>
        <w:t xml:space="preserve"> and any administrative release policies your agency may have.</w:t>
      </w:r>
    </w:p>
    <w:p w14:paraId="3D7D372A" w14:textId="77777777" w:rsidR="0025085D" w:rsidRDefault="0025085D" w:rsidP="00560A7B">
      <w:r>
        <w:t>Record the reason(s) for non-disclosure of any contract against a single register maintained by your agency.</w:t>
      </w:r>
    </w:p>
    <w:tbl>
      <w:tblPr>
        <w:tblStyle w:val="TableGrid"/>
        <w:tblW w:w="5000" w:type="pct"/>
        <w:tblLook w:val="04A0" w:firstRow="1" w:lastRow="0" w:firstColumn="1" w:lastColumn="0" w:noHBand="0" w:noVBand="1"/>
      </w:tblPr>
      <w:tblGrid>
        <w:gridCol w:w="10478"/>
      </w:tblGrid>
      <w:tr w:rsidR="0025085D" w:rsidRPr="00E50CB1" w14:paraId="0B850436" w14:textId="77777777" w:rsidTr="00753813">
        <w:trPr>
          <w:trHeight w:val="454"/>
        </w:trPr>
        <w:tc>
          <w:tcPr>
            <w:tcW w:w="5000" w:type="pct"/>
            <w:shd w:val="clear" w:color="auto" w:fill="0070C0"/>
            <w:vAlign w:val="center"/>
          </w:tcPr>
          <w:p w14:paraId="07BA275E" w14:textId="77777777" w:rsidR="0025085D" w:rsidRPr="00E50CB1" w:rsidRDefault="0025085D" w:rsidP="003A5AF1">
            <w:pPr>
              <w:spacing w:after="0"/>
              <w:rPr>
                <w:b/>
                <w:bCs/>
                <w:color w:val="FFFFFF" w:themeColor="background1"/>
              </w:rPr>
            </w:pPr>
            <w:r>
              <w:rPr>
                <w:b/>
                <w:bCs/>
                <w:color w:val="FFFFFF" w:themeColor="background1"/>
              </w:rPr>
              <w:t>Disclaimer</w:t>
            </w:r>
          </w:p>
        </w:tc>
      </w:tr>
      <w:tr w:rsidR="0025085D" w:rsidRPr="007E7200" w14:paraId="3CC42CE7" w14:textId="77777777" w:rsidTr="00753813">
        <w:trPr>
          <w:trHeight w:val="371"/>
        </w:trPr>
        <w:tc>
          <w:tcPr>
            <w:tcW w:w="5000" w:type="pct"/>
            <w:vAlign w:val="center"/>
          </w:tcPr>
          <w:p w14:paraId="08FF54E7" w14:textId="20F83CA0" w:rsidR="0025085D" w:rsidRDefault="0025085D" w:rsidP="003A5AF1">
            <w:pPr>
              <w:pStyle w:val="ListParagraph"/>
              <w:numPr>
                <w:ilvl w:val="0"/>
                <w:numId w:val="29"/>
              </w:numPr>
              <w:tabs>
                <w:tab w:val="clear" w:pos="2835"/>
              </w:tabs>
              <w:spacing w:before="120" w:after="0"/>
              <w:ind w:left="357" w:hanging="357"/>
            </w:pPr>
            <w:r>
              <w:t>While the following sections on Right to Information and Information Privacy provide examples and guidance, this is general in nature and does not consider individual circumstances. The information should not be relied upon as definitive advice</w:t>
            </w:r>
            <w:r w:rsidR="00707001">
              <w:t>.</w:t>
            </w:r>
          </w:p>
          <w:p w14:paraId="4668C7C2" w14:textId="3F1629E2" w:rsidR="0025085D" w:rsidRPr="002E4D23" w:rsidRDefault="0025085D" w:rsidP="003A5AF1">
            <w:pPr>
              <w:pStyle w:val="ListParagraph"/>
              <w:numPr>
                <w:ilvl w:val="0"/>
                <w:numId w:val="29"/>
              </w:numPr>
              <w:tabs>
                <w:tab w:val="clear" w:pos="2835"/>
              </w:tabs>
              <w:spacing w:before="120"/>
              <w:ind w:left="357" w:hanging="357"/>
            </w:pPr>
            <w:r>
              <w:t>Seek advice from either your agency’s Right to Information, Information Privacy and/or legal service area in relation to undertaking disclosure if this raises Right to Information, Information Privacy or other related concerns</w:t>
            </w:r>
            <w:r w:rsidR="00707001">
              <w:t>.</w:t>
            </w:r>
          </w:p>
        </w:tc>
      </w:tr>
    </w:tbl>
    <w:p w14:paraId="62EE49AB" w14:textId="77777777" w:rsidR="0025085D" w:rsidRDefault="0025085D" w:rsidP="00E00346">
      <w:pPr>
        <w:pStyle w:val="Heading3"/>
      </w:pPr>
      <w:bookmarkStart w:id="13" w:name="_Toc228863368"/>
      <w:r>
        <w:lastRenderedPageBreak/>
        <w:t>Right to Information</w:t>
      </w:r>
      <w:bookmarkEnd w:id="13"/>
    </w:p>
    <w:p w14:paraId="6A8D0BFF" w14:textId="77777777" w:rsidR="0025085D" w:rsidRDefault="0025085D">
      <w:r>
        <w:t>The RTI Act operates under a pro-disclosure bias. This means that access must be given to a document unless it contains exempt information, or its disclosure would, on balance, be contrary to the public interest. Following this, there will be situations where the publication of a contract’s details, either wholly or in part, may not be, on balance, in the public interest or may be subject to legislative requirements.</w:t>
      </w:r>
    </w:p>
    <w:tbl>
      <w:tblPr>
        <w:tblStyle w:val="TableGrid"/>
        <w:tblW w:w="5000" w:type="pct"/>
        <w:tblLook w:val="04A0" w:firstRow="1" w:lastRow="0" w:firstColumn="1" w:lastColumn="0" w:noHBand="0" w:noVBand="1"/>
      </w:tblPr>
      <w:tblGrid>
        <w:gridCol w:w="10478"/>
      </w:tblGrid>
      <w:tr w:rsidR="0025085D" w:rsidRPr="00E50CB1" w14:paraId="122A5300" w14:textId="77777777" w:rsidTr="00753813">
        <w:trPr>
          <w:trHeight w:val="454"/>
        </w:trPr>
        <w:tc>
          <w:tcPr>
            <w:tcW w:w="5000" w:type="pct"/>
            <w:shd w:val="clear" w:color="auto" w:fill="0070C0"/>
            <w:vAlign w:val="center"/>
          </w:tcPr>
          <w:p w14:paraId="40121E89" w14:textId="77777777" w:rsidR="0025085D" w:rsidRPr="00E50CB1" w:rsidRDefault="0025085D" w:rsidP="003A5AF1">
            <w:pPr>
              <w:spacing w:after="0"/>
              <w:rPr>
                <w:b/>
                <w:bCs/>
                <w:color w:val="FFFFFF" w:themeColor="background1"/>
              </w:rPr>
            </w:pPr>
            <w:r>
              <w:rPr>
                <w:b/>
                <w:bCs/>
                <w:color w:val="FFFFFF" w:themeColor="background1"/>
              </w:rPr>
              <w:t>Note: Confidentiality clauses and ‘commercial-in-confidence’ information</w:t>
            </w:r>
          </w:p>
        </w:tc>
      </w:tr>
      <w:tr w:rsidR="0025085D" w:rsidRPr="007E7200" w14:paraId="67CD2E28" w14:textId="77777777" w:rsidTr="00753813">
        <w:trPr>
          <w:trHeight w:val="371"/>
        </w:trPr>
        <w:tc>
          <w:tcPr>
            <w:tcW w:w="5000" w:type="pct"/>
            <w:vAlign w:val="center"/>
          </w:tcPr>
          <w:p w14:paraId="7CBEE9AF" w14:textId="77777777" w:rsidR="0025085D" w:rsidRDefault="0025085D" w:rsidP="003A5AF1">
            <w:pPr>
              <w:pStyle w:val="Default"/>
              <w:spacing w:before="120"/>
              <w:rPr>
                <w:sz w:val="20"/>
                <w:szCs w:val="20"/>
              </w:rPr>
            </w:pPr>
            <w:r>
              <w:rPr>
                <w:sz w:val="20"/>
                <w:szCs w:val="20"/>
              </w:rPr>
              <w:t>A decision to withhold certain information or documents may be justified in certain circumstances to maintain confidentiality or privacy (including, for example, where the obligation of confidence arises as a contractual requirement, under specific legislation, or otherwise at law).</w:t>
            </w:r>
          </w:p>
          <w:p w14:paraId="03D6208C" w14:textId="316F0608" w:rsidR="0025085D" w:rsidRPr="00DE4768" w:rsidRDefault="0025085D" w:rsidP="003A5AF1">
            <w:pPr>
              <w:pStyle w:val="Default"/>
              <w:spacing w:before="120" w:after="120"/>
              <w:rPr>
                <w:sz w:val="20"/>
                <w:szCs w:val="20"/>
              </w:rPr>
            </w:pPr>
            <w:r w:rsidRPr="00DE4768">
              <w:rPr>
                <w:sz w:val="20"/>
                <w:szCs w:val="20"/>
              </w:rPr>
              <w:t xml:space="preserve">Confidentiality and commercial-in-confidence clauses should not, however, be used as a matter of course and only included where there is strong justification for confidentiality. </w:t>
            </w:r>
            <w:r w:rsidRPr="00A1645A">
              <w:rPr>
                <w:sz w:val="20"/>
                <w:szCs w:val="20"/>
              </w:rPr>
              <w:t xml:space="preserve">Further guidance is provided in the </w:t>
            </w:r>
            <w:hyperlink r:id="rId29" w:history="1">
              <w:r w:rsidRPr="003A5AF1">
                <w:rPr>
                  <w:rStyle w:val="Hyperlink"/>
                  <w:i/>
                  <w:iCs/>
                  <w:sz w:val="20"/>
                  <w:szCs w:val="20"/>
                </w:rPr>
                <w:t>Use and disclosure of confidentiality provisions in government contracts</w:t>
              </w:r>
              <w:r w:rsidR="00DB5511" w:rsidRPr="003A5AF1">
                <w:rPr>
                  <w:rStyle w:val="Hyperlink"/>
                  <w:i/>
                  <w:iCs/>
                  <w:sz w:val="20"/>
                  <w:szCs w:val="20"/>
                </w:rPr>
                <w:t xml:space="preserve"> guide</w:t>
              </w:r>
            </w:hyperlink>
            <w:r w:rsidRPr="00A1645A">
              <w:rPr>
                <w:sz w:val="20"/>
                <w:szCs w:val="20"/>
              </w:rPr>
              <w:t>.</w:t>
            </w:r>
            <w:r w:rsidRPr="00DE4768">
              <w:rPr>
                <w:sz w:val="20"/>
                <w:szCs w:val="20"/>
              </w:rPr>
              <w:t xml:space="preserve"> </w:t>
            </w:r>
          </w:p>
          <w:p w14:paraId="6E1CF418" w14:textId="77777777" w:rsidR="0025085D" w:rsidRPr="007E7200" w:rsidRDefault="0025085D" w:rsidP="00F96AA3">
            <w:r w:rsidRPr="009D1C79">
              <w:t xml:space="preserve">Agencies should be aware that while contract details may appear to be commercially sensitive, this does not necessarily mean that they should not be published. Where an agency is uncertain about the disclosure of information in accordance with these guidelines, they should seek advice from either their Right to Information, Information Privacy and/or legal service area. </w:t>
            </w:r>
          </w:p>
        </w:tc>
      </w:tr>
    </w:tbl>
    <w:p w14:paraId="0FDDE174" w14:textId="77777777" w:rsidR="0025085D" w:rsidRDefault="0025085D" w:rsidP="003A5AF1">
      <w:pPr>
        <w:spacing w:before="120"/>
      </w:pPr>
      <w:r w:rsidRPr="00970A1B">
        <w:rPr>
          <w:b/>
          <w:bCs/>
        </w:rPr>
        <w:t>Table 5</w:t>
      </w:r>
      <w:r>
        <w:t xml:space="preserve"> below outlines key steps to determine whether a contract’s details are suitable for disclosure through application of the RTI Act.</w:t>
      </w:r>
    </w:p>
    <w:p w14:paraId="4E1EE80C" w14:textId="77777777" w:rsidR="0025085D" w:rsidRPr="003A5AF1" w:rsidRDefault="0025085D">
      <w:pPr>
        <w:rPr>
          <w:sz w:val="18"/>
          <w:szCs w:val="20"/>
        </w:rPr>
      </w:pPr>
      <w:r w:rsidRPr="003A5AF1">
        <w:rPr>
          <w:b/>
          <w:bCs/>
          <w:sz w:val="18"/>
          <w:szCs w:val="20"/>
        </w:rPr>
        <w:t>Table 5:</w:t>
      </w:r>
      <w:r w:rsidRPr="003A5AF1">
        <w:rPr>
          <w:sz w:val="18"/>
          <w:szCs w:val="20"/>
        </w:rPr>
        <w:t xml:space="preserve"> Application of the RTI Act to the contract disclosure decision-making process</w:t>
      </w:r>
    </w:p>
    <w:tbl>
      <w:tblPr>
        <w:tblStyle w:val="TableGrid"/>
        <w:tblW w:w="5000" w:type="pct"/>
        <w:tblLook w:val="04A0" w:firstRow="1" w:lastRow="0" w:firstColumn="1" w:lastColumn="0" w:noHBand="0" w:noVBand="1"/>
      </w:tblPr>
      <w:tblGrid>
        <w:gridCol w:w="801"/>
        <w:gridCol w:w="9677"/>
      </w:tblGrid>
      <w:tr w:rsidR="0025085D" w14:paraId="20CE62AE" w14:textId="77777777" w:rsidTr="00753813">
        <w:trPr>
          <w:trHeight w:val="454"/>
        </w:trPr>
        <w:tc>
          <w:tcPr>
            <w:tcW w:w="382" w:type="pct"/>
            <w:shd w:val="clear" w:color="auto" w:fill="0070C0"/>
            <w:vAlign w:val="center"/>
          </w:tcPr>
          <w:p w14:paraId="12B8E416" w14:textId="77777777" w:rsidR="0025085D" w:rsidRPr="00E50CB1" w:rsidRDefault="0025085D" w:rsidP="003A5AF1">
            <w:pPr>
              <w:spacing w:after="0"/>
              <w:jc w:val="center"/>
              <w:rPr>
                <w:b/>
                <w:bCs/>
                <w:color w:val="FFFFFF" w:themeColor="background1"/>
              </w:rPr>
            </w:pPr>
            <w:r>
              <w:rPr>
                <w:b/>
                <w:bCs/>
                <w:color w:val="FFFFFF" w:themeColor="background1"/>
              </w:rPr>
              <w:t>No.</w:t>
            </w:r>
          </w:p>
        </w:tc>
        <w:tc>
          <w:tcPr>
            <w:tcW w:w="4618" w:type="pct"/>
            <w:shd w:val="clear" w:color="auto" w:fill="0070C0"/>
            <w:vAlign w:val="center"/>
          </w:tcPr>
          <w:p w14:paraId="5A12DDA8" w14:textId="77777777" w:rsidR="0025085D" w:rsidRPr="00E50CB1" w:rsidRDefault="0025085D" w:rsidP="003A5AF1">
            <w:pPr>
              <w:spacing w:after="0"/>
              <w:jc w:val="center"/>
              <w:rPr>
                <w:b/>
                <w:bCs/>
                <w:color w:val="FFFFFF" w:themeColor="background1"/>
              </w:rPr>
            </w:pPr>
            <w:r>
              <w:rPr>
                <w:b/>
                <w:bCs/>
                <w:color w:val="FFFFFF" w:themeColor="background1"/>
              </w:rPr>
              <w:t>Step</w:t>
            </w:r>
          </w:p>
        </w:tc>
      </w:tr>
      <w:tr w:rsidR="0025085D" w14:paraId="4F57D5AF" w14:textId="77777777" w:rsidTr="00753813">
        <w:trPr>
          <w:trHeight w:val="371"/>
        </w:trPr>
        <w:tc>
          <w:tcPr>
            <w:tcW w:w="382" w:type="pct"/>
            <w:vAlign w:val="center"/>
          </w:tcPr>
          <w:p w14:paraId="28AC6F39" w14:textId="77777777" w:rsidR="0025085D" w:rsidRDefault="0025085D" w:rsidP="00753813">
            <w:pPr>
              <w:jc w:val="center"/>
            </w:pPr>
            <w:r>
              <w:t>1</w:t>
            </w:r>
          </w:p>
        </w:tc>
        <w:tc>
          <w:tcPr>
            <w:tcW w:w="4618" w:type="pct"/>
            <w:vAlign w:val="center"/>
          </w:tcPr>
          <w:p w14:paraId="7A33B884" w14:textId="77777777" w:rsidR="0025085D" w:rsidRPr="00C2231C" w:rsidRDefault="0025085D" w:rsidP="003A5AF1">
            <w:pPr>
              <w:spacing w:before="120"/>
              <w:rPr>
                <w:b/>
                <w:bCs/>
              </w:rPr>
            </w:pPr>
            <w:r w:rsidRPr="00C2231C">
              <w:rPr>
                <w:b/>
                <w:bCs/>
              </w:rPr>
              <w:t>Check the document type</w:t>
            </w:r>
          </w:p>
          <w:p w14:paraId="2D3AA5DA" w14:textId="0494A6B6" w:rsidR="0025085D" w:rsidRDefault="0025085D" w:rsidP="0025085D">
            <w:pPr>
              <w:pStyle w:val="ListParagraph"/>
              <w:numPr>
                <w:ilvl w:val="0"/>
                <w:numId w:val="26"/>
              </w:numPr>
              <w:tabs>
                <w:tab w:val="clear" w:pos="2835"/>
              </w:tabs>
              <w:spacing w:after="0"/>
            </w:pPr>
            <w:r>
              <w:t>The RTI Act does not apply to certain documents (Section 11 of the RTI Act)</w:t>
            </w:r>
            <w:r w:rsidR="00121339">
              <w:t>.</w:t>
            </w:r>
          </w:p>
          <w:p w14:paraId="3DF96673" w14:textId="57A69EDA" w:rsidR="0025085D" w:rsidRDefault="0025085D" w:rsidP="0025085D">
            <w:pPr>
              <w:pStyle w:val="ListParagraph"/>
              <w:numPr>
                <w:ilvl w:val="0"/>
                <w:numId w:val="26"/>
              </w:numPr>
              <w:tabs>
                <w:tab w:val="clear" w:pos="2835"/>
              </w:tabs>
              <w:spacing w:after="0"/>
            </w:pPr>
            <w:r>
              <w:t>Schedule 1 of the RTI Act lists the type of documents to which this Act does not apply</w:t>
            </w:r>
            <w:r w:rsidR="00121339">
              <w:t>.</w:t>
            </w:r>
          </w:p>
          <w:p w14:paraId="23DC23D8" w14:textId="0BAD4AA6" w:rsidR="0025085D" w:rsidRPr="00C2231C" w:rsidRDefault="0025085D" w:rsidP="003A5AF1">
            <w:pPr>
              <w:pStyle w:val="ListParagraph"/>
              <w:numPr>
                <w:ilvl w:val="0"/>
                <w:numId w:val="26"/>
              </w:numPr>
              <w:tabs>
                <w:tab w:val="clear" w:pos="2835"/>
              </w:tabs>
              <w:ind w:left="357" w:hanging="357"/>
            </w:pPr>
            <w:r>
              <w:t>Seek advice from your agency’s Right to Information, Information Privacy and/or legal service area where a contract relates to one of these document types</w:t>
            </w:r>
            <w:r w:rsidR="00121339">
              <w:t>.</w:t>
            </w:r>
          </w:p>
        </w:tc>
      </w:tr>
      <w:tr w:rsidR="0025085D" w14:paraId="0D30038F" w14:textId="77777777" w:rsidTr="00753813">
        <w:trPr>
          <w:trHeight w:val="454"/>
        </w:trPr>
        <w:tc>
          <w:tcPr>
            <w:tcW w:w="382" w:type="pct"/>
            <w:vAlign w:val="center"/>
          </w:tcPr>
          <w:p w14:paraId="77AD6799" w14:textId="77777777" w:rsidR="0025085D" w:rsidRDefault="0025085D" w:rsidP="00753813">
            <w:pPr>
              <w:jc w:val="center"/>
            </w:pPr>
            <w:r>
              <w:t>2</w:t>
            </w:r>
          </w:p>
        </w:tc>
        <w:tc>
          <w:tcPr>
            <w:tcW w:w="4618" w:type="pct"/>
            <w:vAlign w:val="center"/>
          </w:tcPr>
          <w:p w14:paraId="526C4E4B" w14:textId="77777777" w:rsidR="0025085D" w:rsidRDefault="0025085D" w:rsidP="003A5AF1">
            <w:pPr>
              <w:spacing w:before="120"/>
              <w:rPr>
                <w:b/>
                <w:bCs/>
              </w:rPr>
            </w:pPr>
            <w:r w:rsidRPr="005B7960">
              <w:rPr>
                <w:b/>
                <w:bCs/>
              </w:rPr>
              <w:t>Check to see if the information is exempt</w:t>
            </w:r>
          </w:p>
          <w:p w14:paraId="20047AE0" w14:textId="1A9EFAC3" w:rsidR="0025085D" w:rsidRPr="00600F0F" w:rsidRDefault="0025085D" w:rsidP="0025085D">
            <w:pPr>
              <w:pStyle w:val="ListParagraph"/>
              <w:numPr>
                <w:ilvl w:val="0"/>
                <w:numId w:val="25"/>
              </w:numPr>
              <w:tabs>
                <w:tab w:val="clear" w:pos="2835"/>
              </w:tabs>
              <w:spacing w:after="0"/>
              <w:rPr>
                <w:b/>
                <w:bCs/>
              </w:rPr>
            </w:pPr>
            <w:r>
              <w:t>Certain information is exempt from release under Right to Information (Section 48 of the RTI Act). These exemptions are detailed under Schedule 3 of the RTI Act</w:t>
            </w:r>
            <w:r w:rsidR="00121339">
              <w:t>.</w:t>
            </w:r>
          </w:p>
          <w:p w14:paraId="66EA9EDE" w14:textId="77777777" w:rsidR="0025085D" w:rsidRDefault="0025085D" w:rsidP="0025085D">
            <w:pPr>
              <w:pStyle w:val="ListParagraph"/>
              <w:numPr>
                <w:ilvl w:val="0"/>
                <w:numId w:val="25"/>
              </w:numPr>
              <w:tabs>
                <w:tab w:val="clear" w:pos="2835"/>
              </w:tabs>
              <w:spacing w:after="0"/>
              <w:rPr>
                <w:b/>
                <w:bCs/>
              </w:rPr>
            </w:pPr>
            <w:r>
              <w:rPr>
                <w:b/>
                <w:bCs/>
              </w:rPr>
              <w:t>Some exemptions which may be particularly relevant to contract disclosure include:</w:t>
            </w:r>
          </w:p>
          <w:p w14:paraId="51DD8D07" w14:textId="3C6DFEA9" w:rsidR="0025085D" w:rsidRPr="00C2231C" w:rsidRDefault="0025085D" w:rsidP="0025085D">
            <w:pPr>
              <w:pStyle w:val="ListParagraph"/>
              <w:numPr>
                <w:ilvl w:val="1"/>
                <w:numId w:val="25"/>
              </w:numPr>
              <w:tabs>
                <w:tab w:val="clear" w:pos="2835"/>
              </w:tabs>
              <w:spacing w:after="0"/>
              <w:rPr>
                <w:b/>
                <w:bCs/>
              </w:rPr>
            </w:pPr>
            <w:r>
              <w:t>Situations where the disclosure of contract details would be found to be actionable for a breach of confidence. This could occur where a contract’s parties had, for example, agreed to keep confidential details about how a piece of software performed. This could then be an issue if a disclosed description referenced performance details of the software</w:t>
            </w:r>
            <w:r w:rsidR="00121339">
              <w:t>.</w:t>
            </w:r>
          </w:p>
          <w:p w14:paraId="3B783257" w14:textId="5D0CEF93" w:rsidR="0025085D" w:rsidRPr="00C2231C" w:rsidRDefault="0025085D" w:rsidP="003A5AF1">
            <w:pPr>
              <w:pStyle w:val="ListParagraph"/>
              <w:numPr>
                <w:ilvl w:val="1"/>
                <w:numId w:val="25"/>
              </w:numPr>
              <w:tabs>
                <w:tab w:val="clear" w:pos="2835"/>
              </w:tabs>
              <w:ind w:left="1077" w:hanging="357"/>
            </w:pPr>
            <w:r w:rsidRPr="00C2231C">
              <w:t xml:space="preserve">Publication of contract details which may compromise state or national security. This could include, for example, disclosure of contracts related to </w:t>
            </w:r>
            <w:proofErr w:type="gramStart"/>
            <w:r w:rsidRPr="00C2231C">
              <w:t>particular law</w:t>
            </w:r>
            <w:proofErr w:type="gramEnd"/>
            <w:r w:rsidRPr="00C2231C">
              <w:t xml:space="preserve"> enforcement activities which, if disclosed, could compromise the effectiveness of the operation</w:t>
            </w:r>
            <w:r w:rsidR="00121339">
              <w:t>.</w:t>
            </w:r>
          </w:p>
        </w:tc>
      </w:tr>
      <w:tr w:rsidR="0025085D" w14:paraId="5DF7E3FD" w14:textId="77777777" w:rsidTr="00753813">
        <w:trPr>
          <w:trHeight w:val="454"/>
        </w:trPr>
        <w:tc>
          <w:tcPr>
            <w:tcW w:w="382" w:type="pct"/>
            <w:vAlign w:val="center"/>
          </w:tcPr>
          <w:p w14:paraId="06053129" w14:textId="77777777" w:rsidR="0025085D" w:rsidRDefault="0025085D" w:rsidP="00753813">
            <w:pPr>
              <w:jc w:val="center"/>
            </w:pPr>
            <w:r>
              <w:t>3</w:t>
            </w:r>
          </w:p>
        </w:tc>
        <w:tc>
          <w:tcPr>
            <w:tcW w:w="4618" w:type="pct"/>
            <w:vAlign w:val="center"/>
          </w:tcPr>
          <w:p w14:paraId="103BABD1" w14:textId="77777777" w:rsidR="0025085D" w:rsidRDefault="0025085D" w:rsidP="003A5AF1">
            <w:pPr>
              <w:spacing w:before="120"/>
              <w:rPr>
                <w:b/>
                <w:bCs/>
              </w:rPr>
            </w:pPr>
            <w:r w:rsidRPr="00333C3E">
              <w:rPr>
                <w:b/>
                <w:bCs/>
              </w:rPr>
              <w:t>Consider public interest factors</w:t>
            </w:r>
          </w:p>
          <w:p w14:paraId="5C3B340F" w14:textId="00B7412E" w:rsidR="0025085D" w:rsidRPr="00A877A2" w:rsidRDefault="0025085D" w:rsidP="0025085D">
            <w:pPr>
              <w:pStyle w:val="ListParagraph"/>
              <w:numPr>
                <w:ilvl w:val="0"/>
                <w:numId w:val="24"/>
              </w:numPr>
              <w:tabs>
                <w:tab w:val="clear" w:pos="2835"/>
              </w:tabs>
              <w:spacing w:after="0"/>
            </w:pPr>
            <w:r w:rsidRPr="00A877A2">
              <w:t>Deciding whether to disclose information contained in a contract involves considering factors for and against disclosure</w:t>
            </w:r>
            <w:r w:rsidR="00121339">
              <w:t>.</w:t>
            </w:r>
          </w:p>
          <w:p w14:paraId="66491A0F" w14:textId="5B98DB14" w:rsidR="0025085D" w:rsidRPr="00A877A2" w:rsidRDefault="0025085D" w:rsidP="0025085D">
            <w:pPr>
              <w:pStyle w:val="ListParagraph"/>
              <w:numPr>
                <w:ilvl w:val="0"/>
                <w:numId w:val="24"/>
              </w:numPr>
              <w:tabs>
                <w:tab w:val="clear" w:pos="2835"/>
              </w:tabs>
              <w:spacing w:after="0"/>
            </w:pPr>
            <w:r w:rsidRPr="00A877A2">
              <w:t>Section 49 of the RTI Act sets out the steps to consider about whether disclosure would, on balance, be contrary to the public interest</w:t>
            </w:r>
            <w:r w:rsidR="00121339">
              <w:t>.</w:t>
            </w:r>
          </w:p>
          <w:p w14:paraId="1D799FE5" w14:textId="6A47D1E4" w:rsidR="0025085D" w:rsidRPr="00333C3E" w:rsidRDefault="0025085D" w:rsidP="003A5AF1">
            <w:pPr>
              <w:pStyle w:val="ListParagraph"/>
              <w:numPr>
                <w:ilvl w:val="0"/>
                <w:numId w:val="24"/>
              </w:numPr>
              <w:tabs>
                <w:tab w:val="clear" w:pos="2835"/>
              </w:tabs>
              <w:ind w:left="357" w:hanging="357"/>
              <w:rPr>
                <w:b/>
                <w:bCs/>
              </w:rPr>
            </w:pPr>
            <w:proofErr w:type="gramStart"/>
            <w:r w:rsidRPr="00A877A2">
              <w:t>A number of</w:t>
            </w:r>
            <w:proofErr w:type="gramEnd"/>
            <w:r w:rsidRPr="00A877A2">
              <w:t xml:space="preserve"> factors are detailed under Schedule 4 of the RTI Act</w:t>
            </w:r>
            <w:r w:rsidR="00121339">
              <w:t>.</w:t>
            </w:r>
          </w:p>
        </w:tc>
      </w:tr>
    </w:tbl>
    <w:p w14:paraId="5C4160AC" w14:textId="77777777" w:rsidR="00C15356" w:rsidRDefault="00C15356" w:rsidP="003A5AF1">
      <w:pPr>
        <w:spacing w:before="120"/>
        <w:rPr>
          <w:b/>
          <w:bCs/>
        </w:rPr>
      </w:pPr>
    </w:p>
    <w:p w14:paraId="0A575C53" w14:textId="77777777" w:rsidR="00C15356" w:rsidRDefault="00C15356" w:rsidP="003A5AF1">
      <w:pPr>
        <w:spacing w:before="120"/>
        <w:rPr>
          <w:b/>
          <w:bCs/>
        </w:rPr>
      </w:pPr>
    </w:p>
    <w:p w14:paraId="6F0A7005" w14:textId="77777777" w:rsidR="00C15356" w:rsidRDefault="00C15356" w:rsidP="003A5AF1">
      <w:pPr>
        <w:spacing w:before="120"/>
        <w:rPr>
          <w:b/>
          <w:bCs/>
        </w:rPr>
      </w:pPr>
    </w:p>
    <w:p w14:paraId="6D7F80C9" w14:textId="77777777" w:rsidR="00C15356" w:rsidRDefault="00C15356" w:rsidP="003A5AF1">
      <w:pPr>
        <w:spacing w:before="120"/>
        <w:rPr>
          <w:b/>
          <w:bCs/>
        </w:rPr>
      </w:pPr>
    </w:p>
    <w:p w14:paraId="2F56EBCF" w14:textId="7E787077" w:rsidR="0025085D" w:rsidRDefault="0025085D" w:rsidP="003A5AF1">
      <w:pPr>
        <w:spacing w:before="120"/>
      </w:pPr>
      <w:r w:rsidRPr="003A5AF1">
        <w:rPr>
          <w:b/>
          <w:bCs/>
        </w:rPr>
        <w:lastRenderedPageBreak/>
        <w:t>Table 6</w:t>
      </w:r>
      <w:r>
        <w:t xml:space="preserve"> below outlines public interest factors that may be particularly relevant to contract disclosure, noting these factors have been tailored to suit the contract disclosure context.</w:t>
      </w:r>
    </w:p>
    <w:p w14:paraId="34A12696" w14:textId="77777777" w:rsidR="0025085D" w:rsidRPr="003A5AF1" w:rsidRDefault="0025085D">
      <w:pPr>
        <w:rPr>
          <w:sz w:val="18"/>
          <w:szCs w:val="20"/>
        </w:rPr>
      </w:pPr>
      <w:r w:rsidRPr="003A5AF1">
        <w:rPr>
          <w:b/>
          <w:bCs/>
          <w:sz w:val="18"/>
          <w:szCs w:val="20"/>
        </w:rPr>
        <w:t>Table 6:</w:t>
      </w:r>
      <w:r w:rsidRPr="003A5AF1">
        <w:rPr>
          <w:sz w:val="18"/>
          <w:szCs w:val="20"/>
        </w:rPr>
        <w:t xml:space="preserve"> Public interest factors relevant to contract disclosure</w:t>
      </w:r>
    </w:p>
    <w:tbl>
      <w:tblPr>
        <w:tblStyle w:val="TableGrid"/>
        <w:tblW w:w="5000" w:type="pct"/>
        <w:tblLook w:val="04A0" w:firstRow="1" w:lastRow="0" w:firstColumn="1" w:lastColumn="0" w:noHBand="0" w:noVBand="1"/>
      </w:tblPr>
      <w:tblGrid>
        <w:gridCol w:w="3289"/>
        <w:gridCol w:w="3459"/>
        <w:gridCol w:w="3730"/>
      </w:tblGrid>
      <w:tr w:rsidR="0025085D" w14:paraId="1386A85F" w14:textId="77777777" w:rsidTr="003A5AF1">
        <w:trPr>
          <w:trHeight w:val="454"/>
        </w:trPr>
        <w:tc>
          <w:tcPr>
            <w:tcW w:w="1569" w:type="pct"/>
            <w:shd w:val="clear" w:color="auto" w:fill="0070C0"/>
            <w:vAlign w:val="center"/>
          </w:tcPr>
          <w:p w14:paraId="25521FC9" w14:textId="77777777" w:rsidR="0025085D" w:rsidRPr="00E50CB1" w:rsidRDefault="0025085D" w:rsidP="003A5AF1">
            <w:pPr>
              <w:spacing w:after="0"/>
              <w:jc w:val="center"/>
              <w:rPr>
                <w:b/>
                <w:bCs/>
                <w:color w:val="FFFFFF" w:themeColor="background1"/>
              </w:rPr>
            </w:pPr>
            <w:r>
              <w:rPr>
                <w:b/>
                <w:bCs/>
                <w:color w:val="FFFFFF" w:themeColor="background1"/>
              </w:rPr>
              <w:t xml:space="preserve">Irrelevant matters that cannot be </w:t>
            </w:r>
            <w:proofErr w:type="gramStart"/>
            <w:r>
              <w:rPr>
                <w:b/>
                <w:bCs/>
                <w:color w:val="FFFFFF" w:themeColor="background1"/>
              </w:rPr>
              <w:t>taken into account</w:t>
            </w:r>
            <w:proofErr w:type="gramEnd"/>
          </w:p>
        </w:tc>
        <w:tc>
          <w:tcPr>
            <w:tcW w:w="1650" w:type="pct"/>
            <w:shd w:val="clear" w:color="auto" w:fill="0070C0"/>
            <w:vAlign w:val="center"/>
          </w:tcPr>
          <w:p w14:paraId="5A9A2CF2" w14:textId="77777777" w:rsidR="0025085D" w:rsidRPr="00E50CB1" w:rsidRDefault="0025085D" w:rsidP="003A5AF1">
            <w:pPr>
              <w:spacing w:after="0"/>
              <w:jc w:val="center"/>
              <w:rPr>
                <w:b/>
                <w:bCs/>
                <w:color w:val="FFFFFF" w:themeColor="background1"/>
              </w:rPr>
            </w:pPr>
            <w:r>
              <w:rPr>
                <w:b/>
                <w:bCs/>
                <w:color w:val="FFFFFF" w:themeColor="background1"/>
              </w:rPr>
              <w:t>Factors that favour disclosure</w:t>
            </w:r>
          </w:p>
        </w:tc>
        <w:tc>
          <w:tcPr>
            <w:tcW w:w="1780" w:type="pct"/>
            <w:shd w:val="clear" w:color="auto" w:fill="0070C0"/>
          </w:tcPr>
          <w:p w14:paraId="67BB3254" w14:textId="77777777" w:rsidR="0025085D" w:rsidRDefault="0025085D" w:rsidP="003A5AF1">
            <w:pPr>
              <w:spacing w:after="0"/>
              <w:jc w:val="center"/>
              <w:rPr>
                <w:b/>
                <w:bCs/>
                <w:color w:val="FFFFFF" w:themeColor="background1"/>
              </w:rPr>
            </w:pPr>
            <w:r>
              <w:rPr>
                <w:b/>
                <w:bCs/>
                <w:color w:val="FFFFFF" w:themeColor="background1"/>
              </w:rPr>
              <w:t>Factors that favour non-disclosure, including public harm</w:t>
            </w:r>
          </w:p>
        </w:tc>
      </w:tr>
      <w:tr w:rsidR="0025085D" w14:paraId="6F5BA4E9" w14:textId="77777777" w:rsidTr="003A5AF1">
        <w:trPr>
          <w:trHeight w:val="371"/>
        </w:trPr>
        <w:tc>
          <w:tcPr>
            <w:tcW w:w="1569" w:type="pct"/>
          </w:tcPr>
          <w:p w14:paraId="2FF5EE8C" w14:textId="3B421438" w:rsidR="0025085D" w:rsidRPr="003A5AF1" w:rsidRDefault="0025085D" w:rsidP="003A5AF1">
            <w:pPr>
              <w:pStyle w:val="ListParagraph"/>
              <w:numPr>
                <w:ilvl w:val="0"/>
                <w:numId w:val="38"/>
              </w:numPr>
              <w:tabs>
                <w:tab w:val="clear" w:pos="2835"/>
              </w:tabs>
              <w:spacing w:before="120" w:after="0"/>
              <w:ind w:left="357" w:hanging="357"/>
              <w:rPr>
                <w:lang w:val="en-US"/>
              </w:rPr>
            </w:pPr>
            <w:r w:rsidRPr="00CE1EEC">
              <w:t>Disclosure could reasonably be expected to cause embarrassment to the government or to cause a loss of confidence in the government</w:t>
            </w:r>
            <w:r w:rsidR="00121339">
              <w:t>.</w:t>
            </w:r>
          </w:p>
          <w:p w14:paraId="08CD46E1" w14:textId="65F4D525" w:rsidR="0025085D" w:rsidRPr="003A5AF1" w:rsidRDefault="0025085D" w:rsidP="0025085D">
            <w:pPr>
              <w:pStyle w:val="ListParagraph"/>
              <w:numPr>
                <w:ilvl w:val="0"/>
                <w:numId w:val="38"/>
              </w:numPr>
              <w:tabs>
                <w:tab w:val="clear" w:pos="2835"/>
              </w:tabs>
              <w:spacing w:after="0"/>
              <w:rPr>
                <w:lang w:val="en-US"/>
              </w:rPr>
            </w:pPr>
            <w:r w:rsidRPr="00CE1EEC">
              <w:t>Disclosure of the information could reasonably be expected to result in the applicant misinterpreting or misunderstanding the document</w:t>
            </w:r>
            <w:r w:rsidR="00121339">
              <w:t>.</w:t>
            </w:r>
          </w:p>
          <w:p w14:paraId="4624ED4B" w14:textId="77E592AC" w:rsidR="0025085D" w:rsidRPr="003A5AF1" w:rsidRDefault="0025085D" w:rsidP="0025085D">
            <w:pPr>
              <w:pStyle w:val="ListParagraph"/>
              <w:numPr>
                <w:ilvl w:val="0"/>
                <w:numId w:val="38"/>
              </w:numPr>
              <w:tabs>
                <w:tab w:val="clear" w:pos="2835"/>
              </w:tabs>
              <w:spacing w:after="0"/>
              <w:rPr>
                <w:lang w:val="en-US"/>
              </w:rPr>
            </w:pPr>
            <w:r w:rsidRPr="00CE1EEC">
              <w:t>Disclosure of the information could reasonably be expected to result in mischievous conduct by the applicant (e.g. an agency could not refuse to disclose an awarded contract simply because it is concerned that an unsuccessful supplier may view the disclosure and lodge a complaint)</w:t>
            </w:r>
            <w:r w:rsidR="00121339">
              <w:t>.</w:t>
            </w:r>
          </w:p>
          <w:p w14:paraId="11B041FF" w14:textId="13E4A1B7" w:rsidR="0025085D" w:rsidRPr="00B81337" w:rsidRDefault="0025085D" w:rsidP="003A5AF1">
            <w:pPr>
              <w:pStyle w:val="ListParagraph"/>
              <w:numPr>
                <w:ilvl w:val="0"/>
                <w:numId w:val="38"/>
              </w:numPr>
              <w:tabs>
                <w:tab w:val="clear" w:pos="2835"/>
              </w:tabs>
              <w:spacing w:after="0"/>
            </w:pPr>
            <w:r w:rsidRPr="00CE1EEC">
              <w:t>The person who created the document containing the information was or is of high seniority within the agency</w:t>
            </w:r>
            <w:r w:rsidR="00121339">
              <w:t>.</w:t>
            </w:r>
          </w:p>
        </w:tc>
        <w:tc>
          <w:tcPr>
            <w:tcW w:w="1650" w:type="pct"/>
          </w:tcPr>
          <w:p w14:paraId="31E08EC2" w14:textId="070BB879" w:rsidR="0025085D" w:rsidRPr="003A5AF1" w:rsidRDefault="0025085D" w:rsidP="003A5AF1">
            <w:pPr>
              <w:pStyle w:val="ListParagraph"/>
              <w:numPr>
                <w:ilvl w:val="0"/>
                <w:numId w:val="38"/>
              </w:numPr>
              <w:tabs>
                <w:tab w:val="clear" w:pos="2835"/>
              </w:tabs>
              <w:spacing w:before="120" w:after="0"/>
              <w:ind w:left="357" w:hanging="357"/>
              <w:rPr>
                <w:lang w:val="en-US"/>
              </w:rPr>
            </w:pPr>
            <w:r w:rsidRPr="00B00D27">
              <w:t>Disclosure could be reasonably expected to promote open discussion of public affairs and enhance the government’s accountability</w:t>
            </w:r>
            <w:r w:rsidR="00121339">
              <w:t>.</w:t>
            </w:r>
          </w:p>
          <w:p w14:paraId="0ED16805" w14:textId="12973D07" w:rsidR="0025085D" w:rsidRPr="003A5AF1" w:rsidRDefault="0025085D" w:rsidP="0025085D">
            <w:pPr>
              <w:pStyle w:val="ListParagraph"/>
              <w:numPr>
                <w:ilvl w:val="0"/>
                <w:numId w:val="38"/>
              </w:numPr>
              <w:tabs>
                <w:tab w:val="clear" w:pos="2835"/>
              </w:tabs>
              <w:spacing w:after="0"/>
              <w:rPr>
                <w:lang w:val="en-US"/>
              </w:rPr>
            </w:pPr>
            <w:r w:rsidRPr="00B00D27">
              <w:t>Disclosure could be reasonably expected to inform the community about government’s operations</w:t>
            </w:r>
            <w:r w:rsidR="00121339">
              <w:t>.</w:t>
            </w:r>
          </w:p>
          <w:p w14:paraId="12903C7E" w14:textId="602028FE" w:rsidR="0025085D" w:rsidRPr="003A5AF1" w:rsidRDefault="0025085D" w:rsidP="0025085D">
            <w:pPr>
              <w:pStyle w:val="ListParagraph"/>
              <w:numPr>
                <w:ilvl w:val="0"/>
                <w:numId w:val="38"/>
              </w:numPr>
              <w:tabs>
                <w:tab w:val="clear" w:pos="2835"/>
              </w:tabs>
              <w:spacing w:after="0"/>
              <w:rPr>
                <w:lang w:val="en-US"/>
              </w:rPr>
            </w:pPr>
            <w:r w:rsidRPr="00B00D27">
              <w:t>Disclosure could reasonably be expected to ensure effective oversight of the expenditure of public funds</w:t>
            </w:r>
            <w:r w:rsidR="00121339">
              <w:t>.</w:t>
            </w:r>
          </w:p>
          <w:p w14:paraId="426D7BD9" w14:textId="79B53B68" w:rsidR="0025085D" w:rsidRPr="00CE1EEC" w:rsidRDefault="0025085D" w:rsidP="003A5AF1">
            <w:pPr>
              <w:pStyle w:val="ListParagraph"/>
              <w:numPr>
                <w:ilvl w:val="0"/>
                <w:numId w:val="38"/>
              </w:numPr>
              <w:tabs>
                <w:tab w:val="clear" w:pos="2835"/>
              </w:tabs>
              <w:spacing w:after="0"/>
            </w:pPr>
            <w:r w:rsidRPr="00B00D27">
              <w:t>Disclosure could reasonably be expected to reveal the reason for a government decision and any background or contextual information that informed the decision</w:t>
            </w:r>
            <w:r w:rsidR="00121339">
              <w:t>.</w:t>
            </w:r>
          </w:p>
        </w:tc>
        <w:tc>
          <w:tcPr>
            <w:tcW w:w="1780" w:type="pct"/>
          </w:tcPr>
          <w:p w14:paraId="7D351802" w14:textId="71692690" w:rsidR="0025085D" w:rsidRPr="003A5AF1" w:rsidRDefault="0025085D" w:rsidP="003A5AF1">
            <w:pPr>
              <w:pStyle w:val="ListParagraph"/>
              <w:numPr>
                <w:ilvl w:val="0"/>
                <w:numId w:val="38"/>
              </w:numPr>
              <w:tabs>
                <w:tab w:val="clear" w:pos="2835"/>
              </w:tabs>
              <w:spacing w:before="120" w:after="0"/>
              <w:ind w:left="357" w:hanging="357"/>
              <w:rPr>
                <w:lang w:val="en-US"/>
              </w:rPr>
            </w:pPr>
            <w:r w:rsidRPr="00DB5C62">
              <w:t>Disclosure could reasonably be expected to prejudice the private, business, professional, commercial or financial affairs of an entity (e.g. the disclosure of information which reveals unit pricing in a specialised or limited market and results in a commercial disadvantage for a supplier)</w:t>
            </w:r>
            <w:r w:rsidR="00121339">
              <w:t>.</w:t>
            </w:r>
          </w:p>
          <w:p w14:paraId="78E6FF4E" w14:textId="302476E0" w:rsidR="0025085D" w:rsidRPr="003A5AF1" w:rsidRDefault="0025085D" w:rsidP="0025085D">
            <w:pPr>
              <w:pStyle w:val="ListParagraph"/>
              <w:numPr>
                <w:ilvl w:val="0"/>
                <w:numId w:val="38"/>
              </w:numPr>
              <w:tabs>
                <w:tab w:val="clear" w:pos="2835"/>
              </w:tabs>
              <w:spacing w:after="0"/>
              <w:rPr>
                <w:lang w:val="en-US"/>
              </w:rPr>
            </w:pPr>
            <w:r w:rsidRPr="00DB5C62">
              <w:t>Disclosure consists of information of a confidential nature that was communicated in confidence (e.g. models or prototypes). Confidentiality is also a relevant factor if disclosure of the information could reasonably be expected to prejudice an agency’s ability to obtain confidential information</w:t>
            </w:r>
            <w:r w:rsidR="00121339">
              <w:t>.</w:t>
            </w:r>
          </w:p>
          <w:p w14:paraId="50DD59D5" w14:textId="173D44F5" w:rsidR="0025085D" w:rsidRPr="003A5AF1" w:rsidRDefault="0025085D" w:rsidP="0025085D">
            <w:pPr>
              <w:pStyle w:val="ListParagraph"/>
              <w:numPr>
                <w:ilvl w:val="0"/>
                <w:numId w:val="38"/>
              </w:numPr>
              <w:tabs>
                <w:tab w:val="clear" w:pos="2835"/>
              </w:tabs>
              <w:spacing w:after="0"/>
              <w:rPr>
                <w:lang w:val="en-US"/>
              </w:rPr>
            </w:pPr>
            <w:r w:rsidRPr="00DB5C62">
              <w:t>Disclosure of information could reasonably be expected to prejudice the protection of an individual’s right to privacy (e.g. the publication of personal information about an individual)</w:t>
            </w:r>
            <w:r w:rsidR="00121339">
              <w:t>.</w:t>
            </w:r>
          </w:p>
          <w:p w14:paraId="56CC1C04" w14:textId="49BE262F" w:rsidR="0025085D" w:rsidRPr="00B00D27" w:rsidRDefault="0025085D" w:rsidP="003A5AF1">
            <w:pPr>
              <w:pStyle w:val="ListParagraph"/>
              <w:numPr>
                <w:ilvl w:val="0"/>
                <w:numId w:val="38"/>
              </w:numPr>
              <w:tabs>
                <w:tab w:val="clear" w:pos="2835"/>
              </w:tabs>
              <w:ind w:left="357" w:hanging="357"/>
            </w:pPr>
            <w:r w:rsidRPr="00DB5C62">
              <w:t>Disclosure could reasonably be expected to cause public interest harm as it would disclose trade secrets or destroy or diminish the commercial value of the information</w:t>
            </w:r>
            <w:r w:rsidR="00121339">
              <w:t>.</w:t>
            </w:r>
          </w:p>
        </w:tc>
      </w:tr>
    </w:tbl>
    <w:p w14:paraId="07F503A4" w14:textId="77777777" w:rsidR="0025085D" w:rsidRDefault="0025085D" w:rsidP="003A5AF1">
      <w:pPr>
        <w:spacing w:before="120"/>
      </w:pPr>
      <w:r>
        <w:t>While section 17 of the RTI Act exempts certain entities, or particular functions of certain entities, from Right to Information requirements (e.g. those listed under Schedule 2 of the RTI Act), section 5 of the RTI Act specifies that Right to Information does not affect the operations of another Act or administrative scheme that requires the publication of information concerning government operations. Therefore, in accordance with this provision, all agencies (and agency functions) that may otherwise be exempt must still undertake contract disclosure.</w:t>
      </w:r>
    </w:p>
    <w:p w14:paraId="5D994F24" w14:textId="77777777" w:rsidR="0025085D" w:rsidRDefault="0025085D">
      <w:r>
        <w:t>Where you receive a request for information beyond what is disclosed in accordance with this guide, the application should be dealt with under your agency’s Right to Information procedure.</w:t>
      </w:r>
    </w:p>
    <w:p w14:paraId="5D7E0A7E" w14:textId="77777777" w:rsidR="0025085D" w:rsidRDefault="0025085D" w:rsidP="00EC2997">
      <w:pPr>
        <w:pStyle w:val="Heading3"/>
      </w:pPr>
      <w:bookmarkStart w:id="14" w:name="_Toc228863369"/>
      <w:r>
        <w:t>Information Privacy</w:t>
      </w:r>
      <w:bookmarkEnd w:id="14"/>
    </w:p>
    <w:p w14:paraId="47656BA0" w14:textId="77777777" w:rsidR="0025085D" w:rsidRDefault="0025085D">
      <w:r>
        <w:t xml:space="preserve">The IP Act deals with, and defines, what constitutes ‘personal information’. It contains </w:t>
      </w:r>
      <w:proofErr w:type="gramStart"/>
      <w:r>
        <w:t>a number of</w:t>
      </w:r>
      <w:proofErr w:type="gramEnd"/>
      <w:r>
        <w:t xml:space="preserve"> Information Privacy Principles (IPP) which address how personal information is to be handled.</w:t>
      </w:r>
    </w:p>
    <w:p w14:paraId="18DEA987" w14:textId="77777777" w:rsidR="0025085D" w:rsidRDefault="0025085D">
      <w:r>
        <w:t>Personal information applies to natural living persons only. A business entity will not</w:t>
      </w:r>
      <w:proofErr w:type="gramStart"/>
      <w:r>
        <w:t>, in itself, have</w:t>
      </w:r>
      <w:proofErr w:type="gramEnd"/>
      <w:r>
        <w:t xml:space="preserve"> personal information but individuals within the entity will. Therefore, a contract will necessarily contain personal information, even if this is nothing more than a name and signature of the individuals who signed the contract.</w:t>
      </w:r>
    </w:p>
    <w:p w14:paraId="311A4FB3" w14:textId="77777777" w:rsidR="0025085D" w:rsidRDefault="0025085D">
      <w:r>
        <w:t>IPP 11 outlines that, generally, personal information of an individual should not be given out to anyone other than the individual themselves. In the context of contract disclosure, the IP Act contains an exception to this in that disclosure is allowed if the individual is reasonably likely to have been aware, or have been made aware, that, in accordance with IPP 2, it is the agency’s usual practice to disclose that type of personal information.</w:t>
      </w:r>
    </w:p>
    <w:p w14:paraId="59704D95" w14:textId="77777777" w:rsidR="0025085D" w:rsidRDefault="0025085D">
      <w:r>
        <w:t>Importantly, you should make potential suppliers aware that, in the event they are awarded a contract, personal information may be disclosed.</w:t>
      </w:r>
    </w:p>
    <w:tbl>
      <w:tblPr>
        <w:tblStyle w:val="TableGrid"/>
        <w:tblW w:w="5000" w:type="pct"/>
        <w:tblLook w:val="04A0" w:firstRow="1" w:lastRow="0" w:firstColumn="1" w:lastColumn="0" w:noHBand="0" w:noVBand="1"/>
      </w:tblPr>
      <w:tblGrid>
        <w:gridCol w:w="10478"/>
      </w:tblGrid>
      <w:tr w:rsidR="0025085D" w:rsidRPr="00E50CB1" w14:paraId="475BCADB" w14:textId="77777777" w:rsidTr="00753813">
        <w:trPr>
          <w:trHeight w:val="454"/>
        </w:trPr>
        <w:tc>
          <w:tcPr>
            <w:tcW w:w="5000" w:type="pct"/>
            <w:shd w:val="clear" w:color="auto" w:fill="0070C0"/>
            <w:vAlign w:val="center"/>
          </w:tcPr>
          <w:p w14:paraId="445D38E0" w14:textId="77777777" w:rsidR="0025085D" w:rsidRPr="00E50CB1" w:rsidRDefault="0025085D" w:rsidP="003A5AF1">
            <w:pPr>
              <w:spacing w:after="0"/>
              <w:rPr>
                <w:b/>
                <w:bCs/>
                <w:color w:val="FFFFFF" w:themeColor="background1"/>
              </w:rPr>
            </w:pPr>
            <w:r>
              <w:rPr>
                <w:b/>
                <w:bCs/>
                <w:color w:val="FFFFFF" w:themeColor="background1"/>
              </w:rPr>
              <w:lastRenderedPageBreak/>
              <w:t>Note: Handling disclosure related to individual contractors and consultants, along with legal services</w:t>
            </w:r>
          </w:p>
        </w:tc>
      </w:tr>
      <w:tr w:rsidR="0025085D" w:rsidRPr="007E7200" w14:paraId="1C3F9F3D" w14:textId="77777777" w:rsidTr="00753813">
        <w:trPr>
          <w:trHeight w:val="371"/>
        </w:trPr>
        <w:tc>
          <w:tcPr>
            <w:tcW w:w="5000" w:type="pct"/>
            <w:vAlign w:val="center"/>
          </w:tcPr>
          <w:p w14:paraId="27821976" w14:textId="77777777" w:rsidR="0025085D" w:rsidRDefault="0025085D" w:rsidP="003A5AF1">
            <w:pPr>
              <w:spacing w:before="120"/>
            </w:pPr>
            <w:r>
              <w:t>Generally, you should disclose the name of the employing organisation, not the name of individual contractors or consultants. The only exception to this would be where the contractor/consultant’s name is also the organisation name.</w:t>
            </w:r>
          </w:p>
          <w:p w14:paraId="3637F85C" w14:textId="0419C175" w:rsidR="0025085D" w:rsidRPr="007E7200" w:rsidRDefault="0025085D" w:rsidP="00F96AA3">
            <w:r>
              <w:t>For legal services, you should take care to ensure that legal professional privilege is not inadvertently waived by revealing in the description the nature of the legal advice received. To avoid this, you should consider using more generic terms such as ‘legal services’</w:t>
            </w:r>
            <w:r w:rsidR="00121339">
              <w:t>.</w:t>
            </w:r>
          </w:p>
        </w:tc>
      </w:tr>
    </w:tbl>
    <w:p w14:paraId="7C3D585E" w14:textId="77777777" w:rsidR="0025085D" w:rsidRDefault="0025085D" w:rsidP="00653BA5">
      <w:pPr>
        <w:pStyle w:val="Heading1"/>
      </w:pPr>
      <w:bookmarkStart w:id="15" w:name="_Toc228863370"/>
      <w:r>
        <w:t>Accountability for contract disclosure</w:t>
      </w:r>
      <w:bookmarkEnd w:id="15"/>
    </w:p>
    <w:p w14:paraId="58741013" w14:textId="77777777" w:rsidR="0025085D" w:rsidRDefault="0025085D">
      <w:r>
        <w:t>Budget sector agencies and statutory bodies are ultimately accountable for discharging their obligations in accordance with the QPP and this guide, along with ensuring consistency with legislative requirements, contractual terms and conditions and any other relevant instrument.</w:t>
      </w:r>
    </w:p>
    <w:p w14:paraId="7799818A" w14:textId="77777777" w:rsidR="0025085D" w:rsidRPr="008260F5" w:rsidRDefault="0025085D" w:rsidP="008260F5">
      <w:r w:rsidRPr="008260F5">
        <w:t xml:space="preserve">Accountability extends to establishing internal systems, processes and procedures as required to achieve compliance with the guidelines. </w:t>
      </w:r>
    </w:p>
    <w:p w14:paraId="570B86C3" w14:textId="77777777" w:rsidR="0025085D" w:rsidRDefault="0025085D" w:rsidP="008260F5">
      <w:r w:rsidRPr="008260F5">
        <w:t xml:space="preserve">Agency procedures should cover, at a minimum: </w:t>
      </w:r>
    </w:p>
    <w:p w14:paraId="703DDBF3" w14:textId="77777777" w:rsidR="0025085D" w:rsidRDefault="0025085D" w:rsidP="0025085D">
      <w:pPr>
        <w:pStyle w:val="ListParagraph"/>
        <w:numPr>
          <w:ilvl w:val="0"/>
          <w:numId w:val="28"/>
        </w:numPr>
        <w:tabs>
          <w:tab w:val="clear" w:pos="2835"/>
        </w:tabs>
        <w:spacing w:after="60"/>
      </w:pPr>
      <w:r w:rsidRPr="008260F5">
        <w:t xml:space="preserve">the internal systems and processes that will be used to enable contract disclosure within the timeframe required </w:t>
      </w:r>
    </w:p>
    <w:p w14:paraId="102BF5D0" w14:textId="3ECE6990" w:rsidR="0025085D" w:rsidRDefault="0025085D" w:rsidP="0025085D">
      <w:pPr>
        <w:pStyle w:val="ListParagraph"/>
        <w:numPr>
          <w:ilvl w:val="0"/>
          <w:numId w:val="28"/>
        </w:numPr>
        <w:tabs>
          <w:tab w:val="clear" w:pos="2835"/>
        </w:tabs>
        <w:spacing w:after="60"/>
      </w:pPr>
      <w:r w:rsidRPr="008260F5">
        <w:t>a requirement that clauses be included in tender and contract documentation to enable contract disclosure</w:t>
      </w:r>
      <w:r w:rsidR="00E316FE">
        <w:t xml:space="preserve"> and that these clauses need to be </w:t>
      </w:r>
      <w:r w:rsidR="003C3506">
        <w:t>current</w:t>
      </w:r>
      <w:r w:rsidRPr="008260F5">
        <w:t xml:space="preserve"> </w:t>
      </w:r>
    </w:p>
    <w:p w14:paraId="0181DBD9" w14:textId="77777777" w:rsidR="0025085D" w:rsidRDefault="0025085D" w:rsidP="0025085D">
      <w:pPr>
        <w:pStyle w:val="ListParagraph"/>
        <w:numPr>
          <w:ilvl w:val="0"/>
          <w:numId w:val="28"/>
        </w:numPr>
        <w:tabs>
          <w:tab w:val="clear" w:pos="2835"/>
        </w:tabs>
        <w:spacing w:after="60"/>
      </w:pPr>
      <w:r w:rsidRPr="008260F5">
        <w:t xml:space="preserve">processes for how reportable contracts will be identified, including contract variations and amendments </w:t>
      </w:r>
    </w:p>
    <w:p w14:paraId="6DDBB88B" w14:textId="77777777" w:rsidR="0025085D" w:rsidRPr="003A5AF1" w:rsidRDefault="0025085D" w:rsidP="0025085D">
      <w:pPr>
        <w:pStyle w:val="ListParagraph"/>
        <w:numPr>
          <w:ilvl w:val="0"/>
          <w:numId w:val="28"/>
        </w:numPr>
        <w:tabs>
          <w:tab w:val="clear" w:pos="2835"/>
        </w:tabs>
        <w:spacing w:after="60"/>
      </w:pPr>
      <w:r w:rsidRPr="008260F5">
        <w:t xml:space="preserve">processes to validate </w:t>
      </w:r>
      <w:r w:rsidRPr="003A5AF1">
        <w:t xml:space="preserve">the information to be published to ensure that it is true and correct, appropriate for publication, and that Right to Information and Information Privacy matters are managed appropriately </w:t>
      </w:r>
    </w:p>
    <w:p w14:paraId="2143ACDA" w14:textId="77777777" w:rsidR="0025085D" w:rsidRPr="003A5AF1" w:rsidRDefault="0025085D" w:rsidP="0025085D">
      <w:pPr>
        <w:pStyle w:val="ListParagraph"/>
        <w:numPr>
          <w:ilvl w:val="0"/>
          <w:numId w:val="28"/>
        </w:numPr>
        <w:tabs>
          <w:tab w:val="clear" w:pos="2835"/>
        </w:tabs>
        <w:spacing w:after="60"/>
      </w:pPr>
      <w:r w:rsidRPr="003A5AF1">
        <w:t xml:space="preserve">where responsibility lies within the agency for complying with contract disclosure obligations, noting an agency that has responsibility for managing a contract is also responsible for contract disclosure </w:t>
      </w:r>
    </w:p>
    <w:p w14:paraId="622F308E" w14:textId="1656003F" w:rsidR="0025085D" w:rsidRPr="003A5AF1" w:rsidRDefault="0025085D" w:rsidP="003A5AF1">
      <w:pPr>
        <w:pStyle w:val="ListParagraph"/>
        <w:numPr>
          <w:ilvl w:val="0"/>
          <w:numId w:val="28"/>
        </w:numPr>
        <w:tabs>
          <w:tab w:val="clear" w:pos="2835"/>
        </w:tabs>
        <w:spacing w:after="60"/>
      </w:pPr>
      <w:r w:rsidRPr="003A5AF1">
        <w:t xml:space="preserve">processes to ensure the reason(s) for non-disclosure of any particular contract is documented and maintained in a single register maintained by the agency. </w:t>
      </w:r>
    </w:p>
    <w:p w14:paraId="47669000" w14:textId="77777777" w:rsidR="0025085D" w:rsidRDefault="0025085D">
      <w:pPr>
        <w:spacing w:line="259" w:lineRule="auto"/>
        <w:rPr>
          <w:rFonts w:ascii="Arial Nova Light" w:eastAsiaTheme="majorEastAsia" w:hAnsi="Arial Nova Light" w:cstheme="majorBidi"/>
          <w:color w:val="09549F"/>
          <w:sz w:val="36"/>
          <w:szCs w:val="32"/>
        </w:rPr>
      </w:pPr>
      <w:bookmarkStart w:id="16" w:name="_Appendix_1:_Contract"/>
      <w:bookmarkEnd w:id="16"/>
      <w:r>
        <w:br w:type="page"/>
      </w:r>
    </w:p>
    <w:p w14:paraId="44AF36BA" w14:textId="77777777" w:rsidR="0025085D" w:rsidRDefault="0025085D" w:rsidP="00653BA5">
      <w:pPr>
        <w:pStyle w:val="Heading1"/>
      </w:pPr>
      <w:bookmarkStart w:id="17" w:name="_Toc228863371"/>
      <w:r>
        <w:lastRenderedPageBreak/>
        <w:t>Appendix 1: Contract file technical requirements</w:t>
      </w:r>
      <w:bookmarkEnd w:id="17"/>
    </w:p>
    <w:p w14:paraId="10D35889" w14:textId="77777777" w:rsidR="0025085D" w:rsidRDefault="0025085D" w:rsidP="00776025">
      <w:pPr>
        <w:pStyle w:val="Heading2"/>
      </w:pPr>
      <w:bookmarkStart w:id="18" w:name="_Toc228863372"/>
      <w:r>
        <w:t>File format</w:t>
      </w:r>
      <w:bookmarkEnd w:id="18"/>
    </w:p>
    <w:p w14:paraId="16F846E1" w14:textId="77777777" w:rsidR="0025085D" w:rsidRDefault="0025085D" w:rsidP="00776025">
      <w:r w:rsidRPr="007B0859">
        <w:rPr>
          <w:b/>
          <w:bCs/>
        </w:rPr>
        <w:t>Requirement:</w:t>
      </w:r>
      <w:r>
        <w:t xml:space="preserve"> Comma separated values (CSV) format</w:t>
      </w:r>
    </w:p>
    <w:p w14:paraId="4DC3E7AD" w14:textId="77777777" w:rsidR="0025085D" w:rsidRPr="007B0859" w:rsidRDefault="0025085D" w:rsidP="00776025">
      <w:r>
        <w:t xml:space="preserve">Please ensure that all data fields are enclosed with double quotes before each comma separator – e.g. “Agency 1”, “Delivery address 1”, “CONS111” </w:t>
      </w:r>
    </w:p>
    <w:p w14:paraId="6F9BABB1" w14:textId="77777777" w:rsidR="0025085D" w:rsidRDefault="0025085D" w:rsidP="00776025">
      <w:pPr>
        <w:pStyle w:val="Heading2"/>
      </w:pPr>
      <w:bookmarkStart w:id="19" w:name="_Toc228863373"/>
      <w:r>
        <w:t>File size limit</w:t>
      </w:r>
      <w:bookmarkEnd w:id="19"/>
    </w:p>
    <w:p w14:paraId="421688F5" w14:textId="77777777" w:rsidR="0025085D" w:rsidRDefault="0025085D" w:rsidP="00776025">
      <w:r w:rsidRPr="007B0859">
        <w:rPr>
          <w:b/>
          <w:bCs/>
        </w:rPr>
        <w:t>Requirement:</w:t>
      </w:r>
      <w:r>
        <w:t xml:space="preserve"> 200MB per file</w:t>
      </w:r>
    </w:p>
    <w:p w14:paraId="7590E8F5" w14:textId="77777777" w:rsidR="0025085D" w:rsidRDefault="0025085D" w:rsidP="00776025">
      <w:r>
        <w:t>File size cannot exceed 200MB per financial year.</w:t>
      </w:r>
    </w:p>
    <w:p w14:paraId="5345E38F" w14:textId="77777777" w:rsidR="0025085D" w:rsidRDefault="0025085D" w:rsidP="00776025">
      <w:pPr>
        <w:pStyle w:val="Heading2"/>
      </w:pPr>
      <w:bookmarkStart w:id="20" w:name="_Toc228863374"/>
      <w:r>
        <w:t>File naming convention</w:t>
      </w:r>
      <w:bookmarkEnd w:id="20"/>
    </w:p>
    <w:p w14:paraId="3B37B5CC" w14:textId="77777777" w:rsidR="0025085D" w:rsidRDefault="0025085D" w:rsidP="00776025">
      <w:r w:rsidRPr="00E2295D">
        <w:rPr>
          <w:b/>
          <w:bCs/>
        </w:rPr>
        <w:t>Requirement:</w:t>
      </w:r>
      <w:r>
        <w:t xml:space="preserve"> Financial </w:t>
      </w:r>
      <w:proofErr w:type="spellStart"/>
      <w:r>
        <w:t>Year_Agency</w:t>
      </w:r>
      <w:proofErr w:type="spellEnd"/>
      <w:r>
        <w:t xml:space="preserve"> </w:t>
      </w:r>
      <w:proofErr w:type="spellStart"/>
      <w:r>
        <w:t>Name_Contract</w:t>
      </w:r>
      <w:proofErr w:type="spellEnd"/>
      <w:r>
        <w:t xml:space="preserve"> disclosure report</w:t>
      </w:r>
    </w:p>
    <w:p w14:paraId="63462C92" w14:textId="77777777" w:rsidR="0025085D" w:rsidRDefault="0025085D" w:rsidP="00776025">
      <w:pPr>
        <w:pStyle w:val="Heading2"/>
      </w:pPr>
      <w:bookmarkStart w:id="21" w:name="_Toc228863375"/>
      <w:r>
        <w:t>Dataset write mode</w:t>
      </w:r>
      <w:bookmarkEnd w:id="21"/>
    </w:p>
    <w:p w14:paraId="1628D899" w14:textId="77777777" w:rsidR="0025085D" w:rsidRDefault="0025085D" w:rsidP="00776025">
      <w:r w:rsidRPr="00E2295D">
        <w:rPr>
          <w:b/>
          <w:bCs/>
        </w:rPr>
        <w:t>Requirement:</w:t>
      </w:r>
      <w:r>
        <w:t xml:space="preserve"> Append to file until end of financial year</w:t>
      </w:r>
    </w:p>
    <w:p w14:paraId="380A2D37" w14:textId="77777777" w:rsidR="0025085D" w:rsidRDefault="0025085D" w:rsidP="00776025">
      <w:r>
        <w:t xml:space="preserve">There should be only </w:t>
      </w:r>
      <w:r w:rsidRPr="0004564A">
        <w:rPr>
          <w:b/>
          <w:bCs/>
        </w:rPr>
        <w:t>one</w:t>
      </w:r>
      <w:r>
        <w:t xml:space="preserve"> Contract disclosure file per financial year which will be created each new financial year using the prescribed file naming convention. Throughout the financial year, the file will be updated or added with new information.</w:t>
      </w:r>
    </w:p>
    <w:p w14:paraId="79756354" w14:textId="77777777" w:rsidR="0025085D" w:rsidRPr="00E2295D" w:rsidRDefault="0025085D" w:rsidP="00776025">
      <w:pPr>
        <w:pStyle w:val="Heading2"/>
      </w:pPr>
      <w:bookmarkStart w:id="22" w:name="_Toc228863376"/>
      <w:r w:rsidRPr="00E2295D">
        <w:t>Upload frequency</w:t>
      </w:r>
      <w:bookmarkEnd w:id="22"/>
    </w:p>
    <w:p w14:paraId="2770913E" w14:textId="77777777" w:rsidR="0025085D" w:rsidRDefault="0025085D" w:rsidP="00776025">
      <w:r w:rsidRPr="00E2295D">
        <w:rPr>
          <w:b/>
          <w:bCs/>
        </w:rPr>
        <w:t>Requirement:</w:t>
      </w:r>
      <w:r>
        <w:t xml:space="preserve"> Monthly (as per the Contract disclosure guide)</w:t>
      </w:r>
    </w:p>
    <w:p w14:paraId="2480B797" w14:textId="77777777" w:rsidR="0025085D" w:rsidRDefault="0025085D" w:rsidP="00776025">
      <w:pPr>
        <w:pStyle w:val="Heading2"/>
      </w:pPr>
      <w:bookmarkStart w:id="23" w:name="_Toc228863377"/>
      <w:r>
        <w:t>Open data tag/group</w:t>
      </w:r>
      <w:bookmarkEnd w:id="23"/>
    </w:p>
    <w:p w14:paraId="790FDAF1" w14:textId="77777777" w:rsidR="0025085D" w:rsidRDefault="0025085D" w:rsidP="00776025">
      <w:r w:rsidRPr="00E2295D">
        <w:rPr>
          <w:b/>
          <w:bCs/>
        </w:rPr>
        <w:t>Requirement:</w:t>
      </w:r>
      <w:r>
        <w:t xml:space="preserve"> Contract disclosure</w:t>
      </w:r>
    </w:p>
    <w:p w14:paraId="704F4D81" w14:textId="77777777" w:rsidR="0025085D" w:rsidRDefault="0025085D" w:rsidP="00776025">
      <w:r>
        <w:t>File must be uploaded using this data tag/group to ensure that it can be easily searched and grouped on the Open Data Portal.</w:t>
      </w:r>
    </w:p>
    <w:p w14:paraId="2D5D34BE" w14:textId="77777777" w:rsidR="0025085D" w:rsidRDefault="0025085D" w:rsidP="00776025">
      <w:pPr>
        <w:pStyle w:val="Heading2"/>
      </w:pPr>
      <w:bookmarkStart w:id="24" w:name="_Toc228863378"/>
      <w:r>
        <w:t>Dataset custodian</w:t>
      </w:r>
      <w:bookmarkEnd w:id="24"/>
    </w:p>
    <w:p w14:paraId="6BBD1FA2" w14:textId="77777777" w:rsidR="0025085D" w:rsidRDefault="0025085D" w:rsidP="00776025">
      <w:r w:rsidRPr="00E2295D">
        <w:rPr>
          <w:b/>
          <w:bCs/>
        </w:rPr>
        <w:t>Requirement:</w:t>
      </w:r>
      <w:r>
        <w:t xml:space="preserve"> Agency</w:t>
      </w:r>
    </w:p>
    <w:p w14:paraId="5173760C" w14:textId="77777777" w:rsidR="0025085D" w:rsidRDefault="0025085D" w:rsidP="00776025">
      <w:pPr>
        <w:pStyle w:val="Heading2"/>
      </w:pPr>
      <w:bookmarkStart w:id="25" w:name="_Toc228863379"/>
      <w:r>
        <w:t>Information classification</w:t>
      </w:r>
      <w:bookmarkEnd w:id="25"/>
    </w:p>
    <w:p w14:paraId="55848F49" w14:textId="77777777" w:rsidR="0025085D" w:rsidRDefault="0025085D" w:rsidP="00776025">
      <w:r w:rsidRPr="00E2295D">
        <w:rPr>
          <w:b/>
          <w:bCs/>
        </w:rPr>
        <w:t>Requirement:</w:t>
      </w:r>
      <w:r>
        <w:t xml:space="preserve"> Public</w:t>
      </w:r>
    </w:p>
    <w:p w14:paraId="5979D70F" w14:textId="77777777" w:rsidR="0025085D" w:rsidRDefault="0025085D" w:rsidP="00776025">
      <w:pPr>
        <w:pStyle w:val="Heading2"/>
      </w:pPr>
      <w:bookmarkStart w:id="26" w:name="_Toc228863380"/>
      <w:r>
        <w:t>Formatting</w:t>
      </w:r>
      <w:bookmarkEnd w:id="26"/>
    </w:p>
    <w:p w14:paraId="323C37BC" w14:textId="77777777" w:rsidR="0025085D" w:rsidRDefault="0025085D" w:rsidP="00776025">
      <w:r>
        <w:t>When compiling data in the Contract disclosure file:</w:t>
      </w:r>
    </w:p>
    <w:p w14:paraId="4B33069B" w14:textId="77777777" w:rsidR="0025085D" w:rsidRDefault="0025085D" w:rsidP="0025085D">
      <w:pPr>
        <w:pStyle w:val="ListParagraph"/>
        <w:numPr>
          <w:ilvl w:val="0"/>
          <w:numId w:val="35"/>
        </w:numPr>
        <w:tabs>
          <w:tab w:val="clear" w:pos="2835"/>
        </w:tabs>
        <w:spacing w:after="160" w:line="259" w:lineRule="auto"/>
        <w:contextualSpacing/>
      </w:pPr>
      <w:r w:rsidRPr="00E2295D">
        <w:t>minimise the use of capital letters</w:t>
      </w:r>
    </w:p>
    <w:p w14:paraId="7F9143F1" w14:textId="77777777" w:rsidR="0025085D" w:rsidRDefault="0025085D" w:rsidP="0025085D">
      <w:pPr>
        <w:pStyle w:val="ListParagraph"/>
        <w:numPr>
          <w:ilvl w:val="0"/>
          <w:numId w:val="35"/>
        </w:numPr>
        <w:tabs>
          <w:tab w:val="clear" w:pos="2835"/>
        </w:tabs>
        <w:spacing w:after="160" w:line="259" w:lineRule="auto"/>
        <w:contextualSpacing/>
      </w:pPr>
      <w:r w:rsidRPr="00E2295D">
        <w:t xml:space="preserve">use the correct date number format in the cell, DD/MM/YYYY (ensure your locale/location is set to English (Australia)) </w:t>
      </w:r>
    </w:p>
    <w:p w14:paraId="02E87A60" w14:textId="77777777" w:rsidR="0025085D" w:rsidRDefault="0025085D" w:rsidP="0025085D">
      <w:pPr>
        <w:pStyle w:val="ListParagraph"/>
        <w:numPr>
          <w:ilvl w:val="0"/>
          <w:numId w:val="35"/>
        </w:numPr>
        <w:tabs>
          <w:tab w:val="clear" w:pos="2835"/>
        </w:tabs>
        <w:spacing w:after="160" w:line="259" w:lineRule="auto"/>
        <w:contextualSpacing/>
      </w:pPr>
      <w:r w:rsidRPr="00E2295D">
        <w:t xml:space="preserve">do not use the % symbol in cells </w:t>
      </w:r>
    </w:p>
    <w:p w14:paraId="2BAB783D" w14:textId="77777777" w:rsidR="0025085D" w:rsidRDefault="0025085D" w:rsidP="0025085D">
      <w:pPr>
        <w:pStyle w:val="ListParagraph"/>
        <w:numPr>
          <w:ilvl w:val="0"/>
          <w:numId w:val="35"/>
        </w:numPr>
        <w:tabs>
          <w:tab w:val="clear" w:pos="2835"/>
        </w:tabs>
        <w:spacing w:after="160" w:line="259" w:lineRule="auto"/>
        <w:contextualSpacing/>
      </w:pPr>
      <w:r w:rsidRPr="00E2295D">
        <w:t>do not use commas</w:t>
      </w:r>
      <w:r>
        <w:t xml:space="preserve"> or spaces</w:t>
      </w:r>
      <w:r w:rsidRPr="00E2295D">
        <w:t xml:space="preserve"> in numeric cells (e.g. 1000000 not 1,000,000 or 1 000 000.00)</w:t>
      </w:r>
    </w:p>
    <w:p w14:paraId="6C307AF3" w14:textId="77777777" w:rsidR="0025085D" w:rsidRDefault="0025085D" w:rsidP="0025085D">
      <w:pPr>
        <w:pStyle w:val="ListParagraph"/>
        <w:numPr>
          <w:ilvl w:val="0"/>
          <w:numId w:val="35"/>
        </w:numPr>
        <w:tabs>
          <w:tab w:val="clear" w:pos="2835"/>
        </w:tabs>
        <w:spacing w:after="160" w:line="259" w:lineRule="auto"/>
        <w:contextualSpacing/>
      </w:pPr>
      <w:r w:rsidRPr="00E2295D">
        <w:t xml:space="preserve">use whole numbers only, not fractions or decimals </w:t>
      </w:r>
    </w:p>
    <w:p w14:paraId="1AE9B55D" w14:textId="77777777" w:rsidR="0025085D" w:rsidRDefault="0025085D" w:rsidP="0025085D">
      <w:pPr>
        <w:pStyle w:val="ListParagraph"/>
        <w:numPr>
          <w:ilvl w:val="0"/>
          <w:numId w:val="35"/>
        </w:numPr>
        <w:tabs>
          <w:tab w:val="clear" w:pos="2835"/>
        </w:tabs>
        <w:spacing w:after="160" w:line="259" w:lineRule="auto"/>
        <w:contextualSpacing/>
      </w:pPr>
      <w:r w:rsidRPr="00E2295D">
        <w:t xml:space="preserve">do not change the heading row in the template </w:t>
      </w:r>
    </w:p>
    <w:p w14:paraId="12DF78A5" w14:textId="77777777" w:rsidR="0025085D" w:rsidRDefault="0025085D" w:rsidP="0025085D">
      <w:pPr>
        <w:pStyle w:val="ListParagraph"/>
        <w:numPr>
          <w:ilvl w:val="0"/>
          <w:numId w:val="35"/>
        </w:numPr>
        <w:tabs>
          <w:tab w:val="clear" w:pos="2835"/>
        </w:tabs>
        <w:spacing w:after="160" w:line="259" w:lineRule="auto"/>
        <w:contextualSpacing/>
      </w:pPr>
      <w:r w:rsidRPr="00E2295D">
        <w:t xml:space="preserve">remove hidden white spaces from </w:t>
      </w:r>
      <w:r>
        <w:t>rows</w:t>
      </w:r>
      <w:r w:rsidRPr="00E2295D">
        <w:t>:</w:t>
      </w:r>
    </w:p>
    <w:p w14:paraId="22240CD6" w14:textId="77777777" w:rsidR="0025085D" w:rsidRDefault="0025085D" w:rsidP="0025085D">
      <w:pPr>
        <w:pStyle w:val="ListParagraph"/>
        <w:numPr>
          <w:ilvl w:val="1"/>
          <w:numId w:val="35"/>
        </w:numPr>
        <w:tabs>
          <w:tab w:val="clear" w:pos="2835"/>
        </w:tabs>
        <w:spacing w:after="160" w:line="259" w:lineRule="auto"/>
        <w:contextualSpacing/>
      </w:pPr>
      <w:r w:rsidRPr="00E2295D">
        <w:t xml:space="preserve">select the first empty new row by clicking on the row number </w:t>
      </w:r>
    </w:p>
    <w:p w14:paraId="5C0D3EBD" w14:textId="77777777" w:rsidR="0025085D" w:rsidRDefault="0025085D" w:rsidP="0025085D">
      <w:pPr>
        <w:pStyle w:val="ListParagraph"/>
        <w:numPr>
          <w:ilvl w:val="1"/>
          <w:numId w:val="35"/>
        </w:numPr>
        <w:tabs>
          <w:tab w:val="clear" w:pos="2835"/>
        </w:tabs>
        <w:spacing w:after="160" w:line="259" w:lineRule="auto"/>
        <w:contextualSpacing/>
      </w:pPr>
      <w:r w:rsidRPr="00E2295D">
        <w:t xml:space="preserve">press </w:t>
      </w:r>
      <w:proofErr w:type="spellStart"/>
      <w:r>
        <w:t>C</w:t>
      </w:r>
      <w:r w:rsidRPr="00E2295D">
        <w:t>trl+</w:t>
      </w:r>
      <w:r>
        <w:t>S</w:t>
      </w:r>
      <w:r w:rsidRPr="00E2295D">
        <w:t>hift+</w:t>
      </w:r>
      <w:r>
        <w:t>D</w:t>
      </w:r>
      <w:r w:rsidRPr="00E2295D">
        <w:t>own</w:t>
      </w:r>
      <w:proofErr w:type="spellEnd"/>
      <w:r w:rsidRPr="00E2295D">
        <w:t xml:space="preserve"> </w:t>
      </w:r>
      <w:r>
        <w:t>A</w:t>
      </w:r>
      <w:r w:rsidRPr="00E2295D">
        <w:t>rrow - this will select everything after your last row with data</w:t>
      </w:r>
    </w:p>
    <w:p w14:paraId="032CC011" w14:textId="77777777" w:rsidR="0025085D" w:rsidRDefault="0025085D" w:rsidP="0025085D">
      <w:pPr>
        <w:pStyle w:val="ListParagraph"/>
        <w:numPr>
          <w:ilvl w:val="1"/>
          <w:numId w:val="35"/>
        </w:numPr>
        <w:tabs>
          <w:tab w:val="clear" w:pos="2835"/>
        </w:tabs>
        <w:spacing w:after="160" w:line="259" w:lineRule="auto"/>
        <w:contextualSpacing/>
      </w:pPr>
      <w:r w:rsidRPr="00E2295D">
        <w:t xml:space="preserve">press </w:t>
      </w:r>
      <w:r>
        <w:t>D</w:t>
      </w:r>
      <w:r w:rsidRPr="00E2295D">
        <w:t>elete - this will clear any hidden white</w:t>
      </w:r>
      <w:r>
        <w:t xml:space="preserve"> </w:t>
      </w:r>
      <w:r w:rsidRPr="00E2295D">
        <w:t>spaces</w:t>
      </w:r>
    </w:p>
    <w:p w14:paraId="66D0F2C3" w14:textId="77777777" w:rsidR="0025085D" w:rsidRDefault="0025085D" w:rsidP="0025085D">
      <w:pPr>
        <w:pStyle w:val="ListParagraph"/>
        <w:numPr>
          <w:ilvl w:val="0"/>
          <w:numId w:val="35"/>
        </w:numPr>
        <w:tabs>
          <w:tab w:val="clear" w:pos="2835"/>
        </w:tabs>
        <w:spacing w:after="160" w:line="259" w:lineRule="auto"/>
        <w:contextualSpacing/>
      </w:pPr>
      <w:r w:rsidRPr="00E2295D">
        <w:lastRenderedPageBreak/>
        <w:t xml:space="preserve">remove hidden white spaces from </w:t>
      </w:r>
      <w:r>
        <w:t>columns</w:t>
      </w:r>
      <w:r w:rsidRPr="00E2295D">
        <w:t>:</w:t>
      </w:r>
    </w:p>
    <w:p w14:paraId="78FE1195" w14:textId="77777777" w:rsidR="0025085D" w:rsidRDefault="0025085D" w:rsidP="0025085D">
      <w:pPr>
        <w:pStyle w:val="ListParagraph"/>
        <w:numPr>
          <w:ilvl w:val="1"/>
          <w:numId w:val="35"/>
        </w:numPr>
        <w:tabs>
          <w:tab w:val="clear" w:pos="2835"/>
        </w:tabs>
        <w:spacing w:after="160" w:line="259" w:lineRule="auto"/>
        <w:contextualSpacing/>
      </w:pPr>
      <w:r w:rsidRPr="00E2295D">
        <w:t>select the first empty new column by clicking on the column letter</w:t>
      </w:r>
    </w:p>
    <w:p w14:paraId="45F583CE" w14:textId="77777777" w:rsidR="0025085D" w:rsidRDefault="0025085D" w:rsidP="0025085D">
      <w:pPr>
        <w:pStyle w:val="ListParagraph"/>
        <w:numPr>
          <w:ilvl w:val="1"/>
          <w:numId w:val="35"/>
        </w:numPr>
        <w:tabs>
          <w:tab w:val="clear" w:pos="2835"/>
        </w:tabs>
        <w:spacing w:after="160" w:line="259" w:lineRule="auto"/>
        <w:contextualSpacing/>
      </w:pPr>
      <w:r w:rsidRPr="00E2295D">
        <w:t xml:space="preserve">press </w:t>
      </w:r>
      <w:proofErr w:type="spellStart"/>
      <w:r>
        <w:t>C</w:t>
      </w:r>
      <w:r w:rsidRPr="00E2295D">
        <w:t>trl+</w:t>
      </w:r>
      <w:r>
        <w:t>S</w:t>
      </w:r>
      <w:r w:rsidRPr="00E2295D">
        <w:t>hift+</w:t>
      </w:r>
      <w:r>
        <w:t>R</w:t>
      </w:r>
      <w:r w:rsidRPr="00E2295D">
        <w:t>ight</w:t>
      </w:r>
      <w:proofErr w:type="spellEnd"/>
      <w:r w:rsidRPr="00E2295D">
        <w:t xml:space="preserve"> </w:t>
      </w:r>
      <w:r>
        <w:t>A</w:t>
      </w:r>
      <w:r w:rsidRPr="00E2295D">
        <w:t>rrow - this will select everything after your last column with data</w:t>
      </w:r>
    </w:p>
    <w:p w14:paraId="76CE4748" w14:textId="77777777" w:rsidR="0025085D" w:rsidRDefault="0025085D" w:rsidP="0025085D">
      <w:pPr>
        <w:pStyle w:val="ListParagraph"/>
        <w:numPr>
          <w:ilvl w:val="1"/>
          <w:numId w:val="35"/>
        </w:numPr>
        <w:tabs>
          <w:tab w:val="clear" w:pos="2835"/>
        </w:tabs>
        <w:spacing w:after="160" w:line="259" w:lineRule="auto"/>
        <w:contextualSpacing/>
      </w:pPr>
      <w:r w:rsidRPr="00E2295D">
        <w:t>press delete - this will clear any hidden white</w:t>
      </w:r>
      <w:r>
        <w:t xml:space="preserve"> </w:t>
      </w:r>
      <w:r w:rsidRPr="00E2295D">
        <w:t xml:space="preserve">spaces </w:t>
      </w:r>
    </w:p>
    <w:p w14:paraId="62918001" w14:textId="77777777" w:rsidR="0025085D" w:rsidRDefault="0025085D" w:rsidP="0025085D">
      <w:pPr>
        <w:pStyle w:val="ListParagraph"/>
        <w:numPr>
          <w:ilvl w:val="0"/>
          <w:numId w:val="35"/>
        </w:numPr>
        <w:tabs>
          <w:tab w:val="clear" w:pos="2835"/>
        </w:tabs>
        <w:spacing w:after="160" w:line="259" w:lineRule="auto"/>
        <w:contextualSpacing/>
      </w:pPr>
      <w:r w:rsidRPr="00E2295D">
        <w:t>adhere to the</w:t>
      </w:r>
      <w:r>
        <w:t xml:space="preserve"> Queensland Government </w:t>
      </w:r>
      <w:hyperlink r:id="rId30" w:history="1">
        <w:r w:rsidRPr="0004564A">
          <w:rPr>
            <w:rStyle w:val="Hyperlink"/>
          </w:rPr>
          <w:t>Resource formatting guidance material</w:t>
        </w:r>
      </w:hyperlink>
      <w:r w:rsidRPr="00E2295D">
        <w:t>.</w:t>
      </w:r>
    </w:p>
    <w:p w14:paraId="02E8811B" w14:textId="77777777" w:rsidR="0025085D" w:rsidRDefault="0025085D" w:rsidP="00000934">
      <w:pPr>
        <w:pStyle w:val="Heading2"/>
      </w:pPr>
      <w:bookmarkStart w:id="27" w:name="_Toc228863381"/>
      <w:r>
        <w:t>Supporting resources</w:t>
      </w:r>
      <w:bookmarkEnd w:id="27"/>
    </w:p>
    <w:p w14:paraId="2CAD9B03" w14:textId="77777777" w:rsidR="0025085D" w:rsidRDefault="0025085D" w:rsidP="00776025">
      <w:r>
        <w:t>For more information about open data, please refer to the following:</w:t>
      </w:r>
    </w:p>
    <w:p w14:paraId="1B209065" w14:textId="77777777" w:rsidR="0025085D" w:rsidRPr="0004564A" w:rsidRDefault="0025085D" w:rsidP="0025085D">
      <w:pPr>
        <w:pStyle w:val="ListParagraph"/>
        <w:numPr>
          <w:ilvl w:val="0"/>
          <w:numId w:val="36"/>
        </w:numPr>
        <w:tabs>
          <w:tab w:val="clear" w:pos="2835"/>
        </w:tabs>
        <w:spacing w:after="160" w:line="259" w:lineRule="auto"/>
        <w:contextualSpacing/>
      </w:pPr>
      <w:hyperlink r:id="rId31" w:history="1">
        <w:r w:rsidRPr="0004564A">
          <w:rPr>
            <w:rStyle w:val="Hyperlink"/>
          </w:rPr>
          <w:t>Open data portal publishing guide</w:t>
        </w:r>
      </w:hyperlink>
    </w:p>
    <w:p w14:paraId="4B50360D" w14:textId="77777777" w:rsidR="0025085D" w:rsidRDefault="0025085D" w:rsidP="0025085D">
      <w:pPr>
        <w:pStyle w:val="ListParagraph"/>
        <w:numPr>
          <w:ilvl w:val="0"/>
          <w:numId w:val="36"/>
        </w:numPr>
        <w:tabs>
          <w:tab w:val="clear" w:pos="2835"/>
        </w:tabs>
        <w:spacing w:after="160" w:line="259" w:lineRule="auto"/>
        <w:contextualSpacing/>
      </w:pPr>
      <w:hyperlink r:id="rId32" w:history="1">
        <w:r w:rsidRPr="0004564A">
          <w:rPr>
            <w:rStyle w:val="Hyperlink"/>
          </w:rPr>
          <w:t>Open data strategies</w:t>
        </w:r>
      </w:hyperlink>
    </w:p>
    <w:p w14:paraId="5F3675E0" w14:textId="77777777" w:rsidR="0025085D" w:rsidRDefault="0025085D" w:rsidP="0025085D">
      <w:pPr>
        <w:pStyle w:val="ListParagraph"/>
        <w:numPr>
          <w:ilvl w:val="0"/>
          <w:numId w:val="36"/>
        </w:numPr>
        <w:tabs>
          <w:tab w:val="clear" w:pos="2835"/>
        </w:tabs>
        <w:spacing w:after="160" w:line="259" w:lineRule="auto"/>
        <w:contextualSpacing/>
      </w:pPr>
      <w:hyperlink r:id="rId33" w:history="1">
        <w:r w:rsidRPr="000C4CA4">
          <w:rPr>
            <w:rStyle w:val="Hyperlink"/>
          </w:rPr>
          <w:t>Publishing standards</w:t>
        </w:r>
      </w:hyperlink>
    </w:p>
    <w:p w14:paraId="4754F475" w14:textId="77777777" w:rsidR="0025085D" w:rsidRDefault="0025085D" w:rsidP="0025085D">
      <w:pPr>
        <w:pStyle w:val="ListParagraph"/>
        <w:numPr>
          <w:ilvl w:val="0"/>
          <w:numId w:val="36"/>
        </w:numPr>
        <w:tabs>
          <w:tab w:val="clear" w:pos="2835"/>
        </w:tabs>
        <w:spacing w:after="160" w:line="259" w:lineRule="auto"/>
        <w:contextualSpacing/>
      </w:pPr>
      <w:hyperlink r:id="rId34" w:history="1">
        <w:r w:rsidRPr="000C4CA4">
          <w:rPr>
            <w:rStyle w:val="Hyperlink"/>
          </w:rPr>
          <w:t xml:space="preserve">Data </w:t>
        </w:r>
        <w:r>
          <w:rPr>
            <w:rStyle w:val="Hyperlink"/>
          </w:rPr>
          <w:t>P</w:t>
        </w:r>
        <w:r w:rsidRPr="000C4CA4">
          <w:rPr>
            <w:rStyle w:val="Hyperlink"/>
          </w:rPr>
          <w:t>ortal – Training site</w:t>
        </w:r>
      </w:hyperlink>
    </w:p>
    <w:p w14:paraId="2132FD6E" w14:textId="77777777" w:rsidR="0025085D" w:rsidRDefault="0025085D" w:rsidP="0025085D">
      <w:pPr>
        <w:pStyle w:val="ListParagraph"/>
        <w:numPr>
          <w:ilvl w:val="0"/>
          <w:numId w:val="36"/>
        </w:numPr>
        <w:tabs>
          <w:tab w:val="clear" w:pos="2835"/>
        </w:tabs>
        <w:spacing w:after="160" w:line="259" w:lineRule="auto"/>
        <w:contextualSpacing/>
      </w:pPr>
      <w:hyperlink r:id="rId35" w:history="1">
        <w:r w:rsidRPr="000C4CA4">
          <w:rPr>
            <w:rStyle w:val="Hyperlink"/>
          </w:rPr>
          <w:t xml:space="preserve">Data </w:t>
        </w:r>
        <w:r>
          <w:rPr>
            <w:rStyle w:val="Hyperlink"/>
          </w:rPr>
          <w:t>P</w:t>
        </w:r>
        <w:r w:rsidRPr="000C4CA4">
          <w:rPr>
            <w:rStyle w:val="Hyperlink"/>
          </w:rPr>
          <w:t>ortal – Live site</w:t>
        </w:r>
      </w:hyperlink>
    </w:p>
    <w:p w14:paraId="3C311F08" w14:textId="77777777" w:rsidR="0025085D" w:rsidRDefault="0025085D" w:rsidP="0025085D">
      <w:pPr>
        <w:pStyle w:val="ListParagraph"/>
        <w:numPr>
          <w:ilvl w:val="0"/>
          <w:numId w:val="36"/>
        </w:numPr>
        <w:tabs>
          <w:tab w:val="clear" w:pos="2835"/>
        </w:tabs>
        <w:spacing w:after="160" w:line="259" w:lineRule="auto"/>
        <w:contextualSpacing/>
      </w:pPr>
      <w:hyperlink r:id="rId36" w:history="1">
        <w:r w:rsidRPr="000C4CA4">
          <w:rPr>
            <w:rStyle w:val="Hyperlink"/>
          </w:rPr>
          <w:t xml:space="preserve">Publications </w:t>
        </w:r>
        <w:r>
          <w:rPr>
            <w:rStyle w:val="Hyperlink"/>
          </w:rPr>
          <w:t>P</w:t>
        </w:r>
        <w:r w:rsidRPr="000C4CA4">
          <w:rPr>
            <w:rStyle w:val="Hyperlink"/>
          </w:rPr>
          <w:t>ortal – Training site</w:t>
        </w:r>
      </w:hyperlink>
    </w:p>
    <w:p w14:paraId="438046FB" w14:textId="77777777" w:rsidR="0025085D" w:rsidRDefault="0025085D" w:rsidP="0025085D">
      <w:pPr>
        <w:pStyle w:val="ListParagraph"/>
        <w:numPr>
          <w:ilvl w:val="0"/>
          <w:numId w:val="36"/>
        </w:numPr>
        <w:tabs>
          <w:tab w:val="clear" w:pos="2835"/>
        </w:tabs>
        <w:spacing w:after="160" w:line="259" w:lineRule="auto"/>
        <w:contextualSpacing/>
      </w:pPr>
      <w:hyperlink r:id="rId37" w:history="1">
        <w:r w:rsidRPr="000C4CA4">
          <w:rPr>
            <w:rStyle w:val="Hyperlink"/>
          </w:rPr>
          <w:t xml:space="preserve">Publications </w:t>
        </w:r>
        <w:r>
          <w:rPr>
            <w:rStyle w:val="Hyperlink"/>
          </w:rPr>
          <w:t>P</w:t>
        </w:r>
        <w:r w:rsidRPr="000C4CA4">
          <w:rPr>
            <w:rStyle w:val="Hyperlink"/>
          </w:rPr>
          <w:t>ortal – Live site</w:t>
        </w:r>
      </w:hyperlink>
    </w:p>
    <w:p w14:paraId="64C5C7A1" w14:textId="65EDB7BB" w:rsidR="0025085D" w:rsidRPr="0004564A" w:rsidRDefault="0025085D" w:rsidP="001D4C0C">
      <w:pPr>
        <w:pStyle w:val="ListParagraph"/>
        <w:numPr>
          <w:ilvl w:val="0"/>
          <w:numId w:val="36"/>
        </w:numPr>
        <w:tabs>
          <w:tab w:val="clear" w:pos="2835"/>
        </w:tabs>
        <w:spacing w:after="160" w:line="259" w:lineRule="auto"/>
        <w:contextualSpacing/>
      </w:pPr>
      <w:r>
        <w:t xml:space="preserve">Contact </w:t>
      </w:r>
      <w:r w:rsidR="00BD343D">
        <w:t xml:space="preserve">the </w:t>
      </w:r>
      <w:hyperlink r:id="rId38" w:history="1">
        <w:r w:rsidR="00B30D70">
          <w:rPr>
            <w:rStyle w:val="Hyperlink"/>
          </w:rPr>
          <w:t>Queensland Government Open</w:t>
        </w:r>
        <w:r w:rsidR="00BD343D" w:rsidRPr="00B30D70">
          <w:rPr>
            <w:rStyle w:val="Hyperlink"/>
          </w:rPr>
          <w:t xml:space="preserve"> Data Office team</w:t>
        </w:r>
      </w:hyperlink>
      <w:r>
        <w:t xml:space="preserve"> for</w:t>
      </w:r>
      <w:r w:rsidR="00B30D70">
        <w:t xml:space="preserve"> </w:t>
      </w:r>
      <w:r>
        <w:t>access to</w:t>
      </w:r>
      <w:r w:rsidR="001D4C0C">
        <w:t>, and any enquiries about,</w:t>
      </w:r>
      <w:r>
        <w:t xml:space="preserve"> the Data Portal and Publications Portal training and live sites</w:t>
      </w:r>
    </w:p>
    <w:p w14:paraId="12885A9C" w14:textId="77777777" w:rsidR="0025085D" w:rsidRDefault="0025085D"/>
    <w:p w14:paraId="3544089B" w14:textId="5ABAD92C" w:rsidR="000E0467" w:rsidRPr="00963720" w:rsidRDefault="000E0467" w:rsidP="0025085D">
      <w:pPr>
        <w:pStyle w:val="UltraHeading"/>
        <w:ind w:left="709"/>
      </w:pPr>
    </w:p>
    <w:p w14:paraId="2BA78B26" w14:textId="00CF8CF6" w:rsidR="009F0DD9" w:rsidRPr="00143AD0" w:rsidRDefault="009F0DD9" w:rsidP="00143AD0">
      <w:pPr>
        <w:spacing w:after="0"/>
        <w:rPr>
          <w:rFonts w:ascii="Arial Black" w:eastAsia="MS Mincho" w:hAnsi="Arial Black" w:cs="Arial"/>
          <w:b/>
          <w:color w:val="05325F" w:themeColor="text2"/>
          <w:sz w:val="48"/>
          <w:szCs w:val="48"/>
          <w:lang w:val="en-GB"/>
        </w:rPr>
      </w:pPr>
    </w:p>
    <w:sectPr w:rsidR="009F0DD9" w:rsidRPr="00143AD0" w:rsidSect="00225207">
      <w:headerReference w:type="even" r:id="rId39"/>
      <w:headerReference w:type="default" r:id="rId40"/>
      <w:footerReference w:type="even" r:id="rId41"/>
      <w:footerReference w:type="default" r:id="rId42"/>
      <w:headerReference w:type="first" r:id="rId43"/>
      <w:footerReference w:type="first" r:id="rId44"/>
      <w:pgSz w:w="11906" w:h="16838" w:code="9"/>
      <w:pgMar w:top="1134" w:right="709" w:bottom="1134" w:left="709"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47173" w14:textId="77777777" w:rsidR="00544271" w:rsidRDefault="00544271" w:rsidP="00190C24">
      <w:r>
        <w:separator/>
      </w:r>
    </w:p>
  </w:endnote>
  <w:endnote w:type="continuationSeparator" w:id="0">
    <w:p w14:paraId="08783E94" w14:textId="77777777" w:rsidR="00544271" w:rsidRDefault="00544271"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500078FF" w:usb2="08000029" w:usb3="00000000" w:csb0="0000019F" w:csb1="00000000"/>
  </w:font>
  <w:font w:name="Noto Sans">
    <w:panose1 w:val="020B0502040504020204"/>
    <w:charset w:val="00"/>
    <w:family w:val="swiss"/>
    <w:pitch w:val="variable"/>
    <w:sig w:usb0="E00082FF" w:usb1="400078FF" w:usb2="00000021" w:usb3="00000000" w:csb0="0000019F" w:csb1="00000000"/>
  </w:font>
  <w:font w:name="MetaPro-Norm">
    <w:altName w:val="Calibri"/>
    <w:panose1 w:val="00000000000000000000"/>
    <w:charset w:val="00"/>
    <w:family w:val="swiss"/>
    <w:notTrueType/>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Nova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354AC" w14:textId="77777777" w:rsidR="00C57AC7" w:rsidRDefault="00C57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DB734" w14:textId="06E7070F" w:rsidR="00FD5B33" w:rsidRPr="00FD5B33" w:rsidRDefault="00FD5B33" w:rsidP="00FD5B33">
    <w:pPr>
      <w:pBdr>
        <w:top w:val="single" w:sz="12" w:space="1" w:color="005EB8" w:themeColor="text1"/>
      </w:pBdr>
      <w:tabs>
        <w:tab w:val="center" w:pos="4513"/>
        <w:tab w:val="right" w:pos="10488"/>
      </w:tabs>
      <w:spacing w:before="360" w:after="0"/>
      <w:contextualSpacing/>
      <w:rPr>
        <w:rFonts w:eastAsia="Calibri" w:cs="Times New Roman"/>
        <w:noProof/>
        <w:color w:val="404040"/>
        <w:sz w:val="16"/>
        <w:szCs w:val="22"/>
      </w:rPr>
    </w:pPr>
    <w:r>
      <w:rPr>
        <w:rFonts w:eastAsia="Calibri" w:cs="Times New Roman"/>
        <w:noProof/>
        <w:color w:val="404040"/>
        <w:sz w:val="16"/>
        <w:szCs w:val="22"/>
      </w:rPr>
      <w:br/>
    </w:r>
    <w:r w:rsidRPr="003F5945">
      <w:rPr>
        <w:rFonts w:eastAsia="Calibri" w:cs="Times New Roman"/>
        <w:noProof/>
        <w:color w:val="404040"/>
        <w:sz w:val="16"/>
        <w:szCs w:val="22"/>
      </w:rPr>
      <w:tab/>
    </w:r>
    <w:r w:rsidRPr="003F5945">
      <w:rPr>
        <w:rFonts w:eastAsia="Calibri" w:cs="Times New Roman"/>
        <w:noProof/>
        <w:color w:val="404040"/>
        <w:sz w:val="16"/>
        <w:szCs w:val="22"/>
      </w:rPr>
      <w:tab/>
    </w:r>
    <w:r w:rsidRPr="003F5945">
      <w:rPr>
        <w:rFonts w:eastAsia="Calibri" w:cs="Times New Roman"/>
        <w:noProof/>
        <w:color w:val="404040"/>
        <w:sz w:val="16"/>
        <w:szCs w:val="22"/>
      </w:rPr>
      <w:fldChar w:fldCharType="begin"/>
    </w:r>
    <w:r w:rsidRPr="003F5945">
      <w:rPr>
        <w:rFonts w:eastAsia="Calibri" w:cs="Times New Roman"/>
        <w:noProof/>
        <w:color w:val="404040"/>
        <w:sz w:val="16"/>
        <w:szCs w:val="22"/>
      </w:rPr>
      <w:instrText xml:space="preserve"> PAGE   \* MERGEFORMAT </w:instrText>
    </w:r>
    <w:r w:rsidRPr="003F5945">
      <w:rPr>
        <w:rFonts w:eastAsia="Calibri" w:cs="Times New Roman"/>
        <w:noProof/>
        <w:color w:val="404040"/>
        <w:sz w:val="16"/>
        <w:szCs w:val="22"/>
      </w:rPr>
      <w:fldChar w:fldCharType="separate"/>
    </w:r>
    <w:r>
      <w:rPr>
        <w:rFonts w:eastAsia="Calibri" w:cs="Times New Roman"/>
        <w:noProof/>
        <w:color w:val="404040"/>
        <w:sz w:val="16"/>
        <w:szCs w:val="22"/>
      </w:rPr>
      <w:t>2</w:t>
    </w:r>
    <w:r w:rsidRPr="003F5945">
      <w:rPr>
        <w:rFonts w:eastAsia="Calibri" w:cs="Times New Roman"/>
        <w:noProof/>
        <w:color w:val="404040"/>
        <w:sz w:val="16"/>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4374" w14:textId="77777777" w:rsidR="00FD5B33" w:rsidRPr="00FD5B33" w:rsidRDefault="00FD5B33">
    <w:pPr>
      <w:pStyle w:val="Footer"/>
      <w:rPr>
        <w:sz w:val="16"/>
        <w:szCs w:val="16"/>
      </w:rPr>
    </w:pPr>
    <w:r w:rsidRPr="00FD5B33">
      <w:rPr>
        <w:noProof/>
        <w:sz w:val="16"/>
        <w:szCs w:val="16"/>
      </w:rPr>
      <w:drawing>
        <wp:anchor distT="0" distB="0" distL="114300" distR="114300" simplePos="0" relativeHeight="251658240" behindDoc="1" locked="0" layoutInCell="1" allowOverlap="1" wp14:anchorId="6245CB89" wp14:editId="2A9E3D28">
          <wp:simplePos x="0" y="0"/>
          <wp:positionH relativeFrom="margin">
            <wp:posOffset>-443230</wp:posOffset>
          </wp:positionH>
          <wp:positionV relativeFrom="page">
            <wp:posOffset>9779635</wp:posOffset>
          </wp:positionV>
          <wp:extent cx="7573010" cy="895350"/>
          <wp:effectExtent l="0" t="0" r="8890" b="0"/>
          <wp:wrapNone/>
          <wp:docPr id="11306756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67565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7581" b="7581"/>
                  <a:stretch>
                    <a:fillRect/>
                  </a:stretch>
                </pic:blipFill>
                <pic:spPr bwMode="auto">
                  <a:xfrm>
                    <a:off x="0" y="0"/>
                    <a:ext cx="7573010" cy="895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D97BD4" w14:textId="77777777" w:rsidR="00FD5B33" w:rsidRPr="00FD5B33" w:rsidRDefault="00FD5B33">
    <w:pPr>
      <w:pStyle w:val="Footer"/>
      <w:rPr>
        <w:sz w:val="16"/>
        <w:szCs w:val="16"/>
      </w:rPr>
    </w:pPr>
  </w:p>
  <w:p w14:paraId="697040D1" w14:textId="77777777" w:rsidR="00FD5B33" w:rsidRPr="00FD5B33" w:rsidRDefault="00FD5B33">
    <w:pPr>
      <w:pStyle w:val="Footer"/>
      <w:rPr>
        <w:sz w:val="16"/>
        <w:szCs w:val="16"/>
      </w:rPr>
    </w:pPr>
  </w:p>
  <w:p w14:paraId="127372BC" w14:textId="77777777" w:rsidR="00FD5B33" w:rsidRPr="00FD5B33" w:rsidRDefault="00FD5B3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0389A" w14:textId="77777777" w:rsidR="00544271" w:rsidRDefault="00544271" w:rsidP="00190C24">
      <w:r>
        <w:separator/>
      </w:r>
    </w:p>
  </w:footnote>
  <w:footnote w:type="continuationSeparator" w:id="0">
    <w:p w14:paraId="6A68F420" w14:textId="77777777" w:rsidR="00544271" w:rsidRDefault="00544271"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3D458" w14:textId="0FC2A0BF" w:rsidR="00C57AC7" w:rsidRDefault="00C57A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CF1A9" w14:textId="389D7C01" w:rsidR="00225207" w:rsidRPr="008857F4" w:rsidRDefault="0025085D" w:rsidP="00225207">
    <w:pPr>
      <w:pStyle w:val="Header"/>
      <w:pBdr>
        <w:bottom w:val="single" w:sz="12" w:space="8" w:color="005EB8" w:themeColor="text1"/>
      </w:pBdr>
      <w:spacing w:after="360"/>
      <w:contextualSpacing/>
      <w:jc w:val="right"/>
      <w:rPr>
        <w:sz w:val="18"/>
        <w:szCs w:val="18"/>
      </w:rPr>
    </w:pPr>
    <w:r>
      <w:rPr>
        <w:sz w:val="18"/>
        <w:szCs w:val="18"/>
      </w:rPr>
      <w:t>Contract disclosur</w:t>
    </w:r>
    <w:r w:rsidR="00225207" w:rsidRPr="008857F4">
      <w:rPr>
        <w:sz w:val="18"/>
        <w:szCs w:val="18"/>
      </w:rPr>
      <w:t>e</w:t>
    </w:r>
    <w:r>
      <w:rPr>
        <w:sz w:val="18"/>
        <w:szCs w:val="18"/>
      </w:rPr>
      <w:t xml:space="preserve"> guide</w:t>
    </w:r>
  </w:p>
  <w:p w14:paraId="262FBEE2" w14:textId="77777777" w:rsidR="00555C3B" w:rsidRPr="00555C3B" w:rsidRDefault="00555C3B" w:rsidP="00555C3B">
    <w:pPr>
      <w:pStyle w:val="Header"/>
      <w:jc w:val="righ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DA690" w14:textId="0F8C2DB8" w:rsidR="00225207" w:rsidRPr="00555C3B" w:rsidRDefault="00225207" w:rsidP="0076714C">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8241" behindDoc="0" locked="0" layoutInCell="1" allowOverlap="1" wp14:anchorId="13E49970" wp14:editId="43DF22C5">
              <wp:simplePos x="0" y="0"/>
              <wp:positionH relativeFrom="column">
                <wp:posOffset>-584371</wp:posOffset>
              </wp:positionH>
              <wp:positionV relativeFrom="paragraph">
                <wp:posOffset>267970</wp:posOffset>
              </wp:positionV>
              <wp:extent cx="15113000" cy="0"/>
              <wp:effectExtent l="0" t="0" r="0" b="0"/>
              <wp:wrapNone/>
              <wp:docPr id="323756555"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18A75B" id="Straight Connector 1"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p w14:paraId="1DDBA2D4" w14:textId="77777777" w:rsidR="0014521E" w:rsidRDefault="0014521E" w:rsidP="00273E87">
    <w:pPr>
      <w:pStyle w:val="Header"/>
      <w:tabs>
        <w:tab w:val="clear" w:pos="4513"/>
        <w:tab w:val="clear" w:pos="9026"/>
        <w:tab w:val="left" w:pos="32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29728A"/>
    <w:multiLevelType w:val="hybridMultilevel"/>
    <w:tmpl w:val="AF469C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3656098"/>
    <w:multiLevelType w:val="hybridMultilevel"/>
    <w:tmpl w:val="C55282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C7B7A87"/>
    <w:multiLevelType w:val="hybridMultilevel"/>
    <w:tmpl w:val="AB5A42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C875103"/>
    <w:multiLevelType w:val="hybridMultilevel"/>
    <w:tmpl w:val="39B098C8"/>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6" w15:restartNumberingAfterBreak="0">
    <w:nsid w:val="0C9C5E86"/>
    <w:multiLevelType w:val="hybridMultilevel"/>
    <w:tmpl w:val="12801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14761E"/>
    <w:multiLevelType w:val="hybridMultilevel"/>
    <w:tmpl w:val="72E8C6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09F54F2"/>
    <w:multiLevelType w:val="hybridMultilevel"/>
    <w:tmpl w:val="2B081932"/>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9" w15:restartNumberingAfterBreak="0">
    <w:nsid w:val="12310F2D"/>
    <w:multiLevelType w:val="hybridMultilevel"/>
    <w:tmpl w:val="CB9245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3F53F19"/>
    <w:multiLevelType w:val="hybridMultilevel"/>
    <w:tmpl w:val="A67ED9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82F0A1F"/>
    <w:multiLevelType w:val="hybridMultilevel"/>
    <w:tmpl w:val="F8546F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9555EA"/>
    <w:multiLevelType w:val="hybridMultilevel"/>
    <w:tmpl w:val="8982C2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39663F3"/>
    <w:multiLevelType w:val="hybridMultilevel"/>
    <w:tmpl w:val="4ED47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B50CD7"/>
    <w:multiLevelType w:val="hybridMultilevel"/>
    <w:tmpl w:val="9A66E4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E424EEB"/>
    <w:multiLevelType w:val="hybridMultilevel"/>
    <w:tmpl w:val="B740AB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7D4D42"/>
    <w:multiLevelType w:val="hybridMultilevel"/>
    <w:tmpl w:val="4CA482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3B02C48"/>
    <w:multiLevelType w:val="hybridMultilevel"/>
    <w:tmpl w:val="EFEA9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2455CB"/>
    <w:multiLevelType w:val="hybridMultilevel"/>
    <w:tmpl w:val="496ACC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AFA5748"/>
    <w:multiLevelType w:val="hybridMultilevel"/>
    <w:tmpl w:val="7CC4C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8D2C3F"/>
    <w:multiLevelType w:val="hybridMultilevel"/>
    <w:tmpl w:val="56905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E66DEA"/>
    <w:multiLevelType w:val="hybridMultilevel"/>
    <w:tmpl w:val="EB5CC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171B67"/>
    <w:multiLevelType w:val="hybridMultilevel"/>
    <w:tmpl w:val="DEBA2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A27017"/>
    <w:multiLevelType w:val="hybridMultilevel"/>
    <w:tmpl w:val="C060A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0928CE"/>
    <w:multiLevelType w:val="hybridMultilevel"/>
    <w:tmpl w:val="039CF004"/>
    <w:lvl w:ilvl="0" w:tplc="EF1A7C74">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7" w15:restartNumberingAfterBreak="0">
    <w:nsid w:val="48CA3291"/>
    <w:multiLevelType w:val="hybridMultilevel"/>
    <w:tmpl w:val="4E0ED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B937DE4"/>
    <w:multiLevelType w:val="hybridMultilevel"/>
    <w:tmpl w:val="D8B40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C273B4E"/>
    <w:multiLevelType w:val="hybridMultilevel"/>
    <w:tmpl w:val="CC2078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5A13B9C"/>
    <w:multiLevelType w:val="hybridMultilevel"/>
    <w:tmpl w:val="05722D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77D2B4B"/>
    <w:multiLevelType w:val="hybridMultilevel"/>
    <w:tmpl w:val="44A26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CF86569"/>
    <w:multiLevelType w:val="hybridMultilevel"/>
    <w:tmpl w:val="7ADEF2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97403B"/>
    <w:multiLevelType w:val="multilevel"/>
    <w:tmpl w:val="CC66E8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58B58A5"/>
    <w:multiLevelType w:val="hybridMultilevel"/>
    <w:tmpl w:val="FC9A66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DB3371C"/>
    <w:multiLevelType w:val="hybridMultilevel"/>
    <w:tmpl w:val="F0744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4A5DD1"/>
    <w:multiLevelType w:val="hybridMultilevel"/>
    <w:tmpl w:val="F078EC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FB54619"/>
    <w:multiLevelType w:val="hybridMultilevel"/>
    <w:tmpl w:val="BD7CD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1132802"/>
    <w:multiLevelType w:val="hybridMultilevel"/>
    <w:tmpl w:val="0BD2E6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76D6B32"/>
    <w:multiLevelType w:val="hybridMultilevel"/>
    <w:tmpl w:val="7A22E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96C062A"/>
    <w:multiLevelType w:val="hybridMultilevel"/>
    <w:tmpl w:val="4D5653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D3F1B70"/>
    <w:multiLevelType w:val="hybridMultilevel"/>
    <w:tmpl w:val="8160B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1102511">
    <w:abstractNumId w:val="3"/>
  </w:num>
  <w:num w:numId="2" w16cid:durableId="800348836">
    <w:abstractNumId w:val="26"/>
  </w:num>
  <w:num w:numId="3" w16cid:durableId="424690506">
    <w:abstractNumId w:val="16"/>
  </w:num>
  <w:num w:numId="4" w16cid:durableId="1352219071">
    <w:abstractNumId w:val="0"/>
  </w:num>
  <w:num w:numId="5" w16cid:durableId="688750406">
    <w:abstractNumId w:val="40"/>
  </w:num>
  <w:num w:numId="6" w16cid:durableId="1293293078">
    <w:abstractNumId w:val="43"/>
  </w:num>
  <w:num w:numId="7" w16cid:durableId="1258902616">
    <w:abstractNumId w:val="25"/>
  </w:num>
  <w:num w:numId="8" w16cid:durableId="1941519922">
    <w:abstractNumId w:val="31"/>
  </w:num>
  <w:num w:numId="9" w16cid:durableId="958730894">
    <w:abstractNumId w:val="1"/>
  </w:num>
  <w:num w:numId="10" w16cid:durableId="975375665">
    <w:abstractNumId w:val="20"/>
  </w:num>
  <w:num w:numId="11" w16cid:durableId="1726022805">
    <w:abstractNumId w:val="41"/>
  </w:num>
  <w:num w:numId="12" w16cid:durableId="1901789832">
    <w:abstractNumId w:val="28"/>
  </w:num>
  <w:num w:numId="13" w16cid:durableId="1937134654">
    <w:abstractNumId w:val="8"/>
  </w:num>
  <w:num w:numId="14" w16cid:durableId="562252401">
    <w:abstractNumId w:val="2"/>
  </w:num>
  <w:num w:numId="15" w16cid:durableId="1764643265">
    <w:abstractNumId w:val="17"/>
  </w:num>
  <w:num w:numId="16" w16cid:durableId="433936236">
    <w:abstractNumId w:val="7"/>
  </w:num>
  <w:num w:numId="17" w16cid:durableId="1649549810">
    <w:abstractNumId w:val="39"/>
  </w:num>
  <w:num w:numId="18" w16cid:durableId="1227495539">
    <w:abstractNumId w:val="18"/>
  </w:num>
  <w:num w:numId="19" w16cid:durableId="1963655281">
    <w:abstractNumId w:val="5"/>
  </w:num>
  <w:num w:numId="20" w16cid:durableId="1375080177">
    <w:abstractNumId w:val="32"/>
  </w:num>
  <w:num w:numId="21" w16cid:durableId="1594316063">
    <w:abstractNumId w:val="29"/>
  </w:num>
  <w:num w:numId="22" w16cid:durableId="584344894">
    <w:abstractNumId w:val="23"/>
  </w:num>
  <w:num w:numId="23" w16cid:durableId="284703312">
    <w:abstractNumId w:val="21"/>
  </w:num>
  <w:num w:numId="24" w16cid:durableId="679939410">
    <w:abstractNumId w:val="14"/>
  </w:num>
  <w:num w:numId="25" w16cid:durableId="96023971">
    <w:abstractNumId w:val="42"/>
  </w:num>
  <w:num w:numId="26" w16cid:durableId="1500341715">
    <w:abstractNumId w:val="15"/>
  </w:num>
  <w:num w:numId="27" w16cid:durableId="32923129">
    <w:abstractNumId w:val="33"/>
  </w:num>
  <w:num w:numId="28" w16cid:durableId="2122260307">
    <w:abstractNumId w:val="36"/>
  </w:num>
  <w:num w:numId="29" w16cid:durableId="210196802">
    <w:abstractNumId w:val="10"/>
  </w:num>
  <w:num w:numId="30" w16cid:durableId="1163352828">
    <w:abstractNumId w:val="27"/>
  </w:num>
  <w:num w:numId="31" w16cid:durableId="773012495">
    <w:abstractNumId w:val="24"/>
  </w:num>
  <w:num w:numId="32" w16cid:durableId="250091388">
    <w:abstractNumId w:val="11"/>
  </w:num>
  <w:num w:numId="33" w16cid:durableId="352076827">
    <w:abstractNumId w:val="6"/>
  </w:num>
  <w:num w:numId="34" w16cid:durableId="2101218837">
    <w:abstractNumId w:val="35"/>
  </w:num>
  <w:num w:numId="35" w16cid:durableId="1097293305">
    <w:abstractNumId w:val="30"/>
  </w:num>
  <w:num w:numId="36" w16cid:durableId="922101863">
    <w:abstractNumId w:val="13"/>
  </w:num>
  <w:num w:numId="37" w16cid:durableId="1947079822">
    <w:abstractNumId w:val="22"/>
  </w:num>
  <w:num w:numId="38" w16cid:durableId="1371614647">
    <w:abstractNumId w:val="37"/>
  </w:num>
  <w:num w:numId="39" w16cid:durableId="904603563">
    <w:abstractNumId w:val="34"/>
  </w:num>
  <w:num w:numId="40" w16cid:durableId="1775519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920793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49132270">
    <w:abstractNumId w:val="4"/>
  </w:num>
  <w:num w:numId="43" w16cid:durableId="19551419">
    <w:abstractNumId w:val="16"/>
  </w:num>
  <w:num w:numId="44" w16cid:durableId="847643734">
    <w:abstractNumId w:val="16"/>
  </w:num>
  <w:num w:numId="45" w16cid:durableId="939527320">
    <w:abstractNumId w:val="16"/>
  </w:num>
  <w:num w:numId="46" w16cid:durableId="2106880458">
    <w:abstractNumId w:val="16"/>
  </w:num>
  <w:num w:numId="47" w16cid:durableId="820465820">
    <w:abstractNumId w:val="16"/>
  </w:num>
  <w:num w:numId="48" w16cid:durableId="1855150738">
    <w:abstractNumId w:val="16"/>
  </w:num>
  <w:num w:numId="49" w16cid:durableId="581572273">
    <w:abstractNumId w:val="16"/>
  </w:num>
  <w:num w:numId="50" w16cid:durableId="1146361985">
    <w:abstractNumId w:val="19"/>
  </w:num>
  <w:num w:numId="51" w16cid:durableId="2122147840">
    <w:abstractNumId w:val="12"/>
  </w:num>
  <w:num w:numId="52" w16cid:durableId="1943026972">
    <w:abstractNumId w:val="9"/>
  </w:num>
  <w:num w:numId="53" w16cid:durableId="534582096">
    <w:abstractNumId w:val="16"/>
  </w:num>
  <w:num w:numId="54" w16cid:durableId="909003536">
    <w:abstractNumId w:val="3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467"/>
    <w:rsid w:val="00003124"/>
    <w:rsid w:val="00007985"/>
    <w:rsid w:val="0002155B"/>
    <w:rsid w:val="00026D00"/>
    <w:rsid w:val="000425F7"/>
    <w:rsid w:val="000436FC"/>
    <w:rsid w:val="00052C06"/>
    <w:rsid w:val="0005471A"/>
    <w:rsid w:val="00056355"/>
    <w:rsid w:val="000614F2"/>
    <w:rsid w:val="00066E58"/>
    <w:rsid w:val="00074514"/>
    <w:rsid w:val="000759AD"/>
    <w:rsid w:val="00084656"/>
    <w:rsid w:val="000A1EB7"/>
    <w:rsid w:val="000B0BCE"/>
    <w:rsid w:val="000B1ED2"/>
    <w:rsid w:val="000B4980"/>
    <w:rsid w:val="000B54C2"/>
    <w:rsid w:val="000B61AC"/>
    <w:rsid w:val="000D3862"/>
    <w:rsid w:val="000D5576"/>
    <w:rsid w:val="000D58B4"/>
    <w:rsid w:val="000E0467"/>
    <w:rsid w:val="000E1223"/>
    <w:rsid w:val="000E4088"/>
    <w:rsid w:val="000E64D9"/>
    <w:rsid w:val="000F4E58"/>
    <w:rsid w:val="000F7FDE"/>
    <w:rsid w:val="001000FC"/>
    <w:rsid w:val="00101904"/>
    <w:rsid w:val="0010280D"/>
    <w:rsid w:val="0011122C"/>
    <w:rsid w:val="00117560"/>
    <w:rsid w:val="001206C4"/>
    <w:rsid w:val="00121339"/>
    <w:rsid w:val="001222EA"/>
    <w:rsid w:val="0013220F"/>
    <w:rsid w:val="00132F1D"/>
    <w:rsid w:val="00134EFF"/>
    <w:rsid w:val="001410DF"/>
    <w:rsid w:val="00143AD0"/>
    <w:rsid w:val="0014521E"/>
    <w:rsid w:val="00153FA6"/>
    <w:rsid w:val="00175D56"/>
    <w:rsid w:val="00190C24"/>
    <w:rsid w:val="00191869"/>
    <w:rsid w:val="001956A1"/>
    <w:rsid w:val="001A6BD9"/>
    <w:rsid w:val="001A752A"/>
    <w:rsid w:val="001B7CF2"/>
    <w:rsid w:val="001C11D2"/>
    <w:rsid w:val="001C2CA7"/>
    <w:rsid w:val="001C43F0"/>
    <w:rsid w:val="001D4C0C"/>
    <w:rsid w:val="001D6895"/>
    <w:rsid w:val="001D7A2D"/>
    <w:rsid w:val="001E4745"/>
    <w:rsid w:val="001F2B12"/>
    <w:rsid w:val="001F3A36"/>
    <w:rsid w:val="001F49D0"/>
    <w:rsid w:val="001F6AE5"/>
    <w:rsid w:val="00205F10"/>
    <w:rsid w:val="002103ED"/>
    <w:rsid w:val="00210A5A"/>
    <w:rsid w:val="00210FB4"/>
    <w:rsid w:val="00214C4F"/>
    <w:rsid w:val="00225207"/>
    <w:rsid w:val="00225E12"/>
    <w:rsid w:val="00227C27"/>
    <w:rsid w:val="002371F7"/>
    <w:rsid w:val="002419E9"/>
    <w:rsid w:val="00243DC9"/>
    <w:rsid w:val="0024520B"/>
    <w:rsid w:val="0025085D"/>
    <w:rsid w:val="00252A96"/>
    <w:rsid w:val="00253E8A"/>
    <w:rsid w:val="002706E8"/>
    <w:rsid w:val="00273E87"/>
    <w:rsid w:val="0027645C"/>
    <w:rsid w:val="002775A5"/>
    <w:rsid w:val="00284261"/>
    <w:rsid w:val="002844D9"/>
    <w:rsid w:val="0029318B"/>
    <w:rsid w:val="002970CF"/>
    <w:rsid w:val="002B15E5"/>
    <w:rsid w:val="002B5219"/>
    <w:rsid w:val="002B7607"/>
    <w:rsid w:val="002C47FC"/>
    <w:rsid w:val="002E3E34"/>
    <w:rsid w:val="002E7166"/>
    <w:rsid w:val="002E72B9"/>
    <w:rsid w:val="002F3359"/>
    <w:rsid w:val="002F78A2"/>
    <w:rsid w:val="002F7EBF"/>
    <w:rsid w:val="00320670"/>
    <w:rsid w:val="00324B55"/>
    <w:rsid w:val="00337EAA"/>
    <w:rsid w:val="00344241"/>
    <w:rsid w:val="0035564D"/>
    <w:rsid w:val="00355E78"/>
    <w:rsid w:val="00373619"/>
    <w:rsid w:val="0038096F"/>
    <w:rsid w:val="00381477"/>
    <w:rsid w:val="00385A56"/>
    <w:rsid w:val="00396D5E"/>
    <w:rsid w:val="003975D2"/>
    <w:rsid w:val="003A50BF"/>
    <w:rsid w:val="003A5AF1"/>
    <w:rsid w:val="003C33FE"/>
    <w:rsid w:val="003C3506"/>
    <w:rsid w:val="003D33F7"/>
    <w:rsid w:val="003D540F"/>
    <w:rsid w:val="003E5C52"/>
    <w:rsid w:val="003F3FF8"/>
    <w:rsid w:val="003F643A"/>
    <w:rsid w:val="00402593"/>
    <w:rsid w:val="00402CFC"/>
    <w:rsid w:val="00403EF1"/>
    <w:rsid w:val="00404BCA"/>
    <w:rsid w:val="00416A49"/>
    <w:rsid w:val="00427109"/>
    <w:rsid w:val="0043426A"/>
    <w:rsid w:val="00442FE1"/>
    <w:rsid w:val="004468D2"/>
    <w:rsid w:val="00455674"/>
    <w:rsid w:val="004562DA"/>
    <w:rsid w:val="00467A91"/>
    <w:rsid w:val="00472717"/>
    <w:rsid w:val="00476A07"/>
    <w:rsid w:val="00486680"/>
    <w:rsid w:val="00491C41"/>
    <w:rsid w:val="004A5E19"/>
    <w:rsid w:val="004B3808"/>
    <w:rsid w:val="004C37B1"/>
    <w:rsid w:val="004D25EE"/>
    <w:rsid w:val="004D2BB4"/>
    <w:rsid w:val="004E0AC0"/>
    <w:rsid w:val="004E5A25"/>
    <w:rsid w:val="004E62A1"/>
    <w:rsid w:val="004F18D2"/>
    <w:rsid w:val="004F471B"/>
    <w:rsid w:val="00512582"/>
    <w:rsid w:val="005300A1"/>
    <w:rsid w:val="00532905"/>
    <w:rsid w:val="00537DE6"/>
    <w:rsid w:val="00540992"/>
    <w:rsid w:val="00542B5B"/>
    <w:rsid w:val="00543A32"/>
    <w:rsid w:val="00543BEA"/>
    <w:rsid w:val="00544271"/>
    <w:rsid w:val="00555585"/>
    <w:rsid w:val="0055582F"/>
    <w:rsid w:val="00555C3B"/>
    <w:rsid w:val="005644E5"/>
    <w:rsid w:val="0056698B"/>
    <w:rsid w:val="00580517"/>
    <w:rsid w:val="00586A9E"/>
    <w:rsid w:val="00586C87"/>
    <w:rsid w:val="005877D9"/>
    <w:rsid w:val="005918B2"/>
    <w:rsid w:val="005A28EB"/>
    <w:rsid w:val="005B0EC5"/>
    <w:rsid w:val="005B79A8"/>
    <w:rsid w:val="005C68D9"/>
    <w:rsid w:val="005E0A0E"/>
    <w:rsid w:val="005E1B73"/>
    <w:rsid w:val="005E6544"/>
    <w:rsid w:val="005F3ED3"/>
    <w:rsid w:val="005F4331"/>
    <w:rsid w:val="006179F5"/>
    <w:rsid w:val="0062040F"/>
    <w:rsid w:val="0062280E"/>
    <w:rsid w:val="006239A5"/>
    <w:rsid w:val="00636B71"/>
    <w:rsid w:val="006420CC"/>
    <w:rsid w:val="00646AE8"/>
    <w:rsid w:val="00653BA5"/>
    <w:rsid w:val="00664A9F"/>
    <w:rsid w:val="00672747"/>
    <w:rsid w:val="0068756E"/>
    <w:rsid w:val="00694105"/>
    <w:rsid w:val="006A06AC"/>
    <w:rsid w:val="006C3D8E"/>
    <w:rsid w:val="006C6891"/>
    <w:rsid w:val="006D0BCD"/>
    <w:rsid w:val="006E1C19"/>
    <w:rsid w:val="006F0011"/>
    <w:rsid w:val="00707001"/>
    <w:rsid w:val="00715175"/>
    <w:rsid w:val="00721E7C"/>
    <w:rsid w:val="00723E83"/>
    <w:rsid w:val="007274E7"/>
    <w:rsid w:val="00750C28"/>
    <w:rsid w:val="0075625A"/>
    <w:rsid w:val="0076714C"/>
    <w:rsid w:val="0077204F"/>
    <w:rsid w:val="00774840"/>
    <w:rsid w:val="00781DA5"/>
    <w:rsid w:val="00783454"/>
    <w:rsid w:val="007A3075"/>
    <w:rsid w:val="007B4E7E"/>
    <w:rsid w:val="007B50C9"/>
    <w:rsid w:val="007C6C4E"/>
    <w:rsid w:val="007C7178"/>
    <w:rsid w:val="007D023E"/>
    <w:rsid w:val="007D0BEA"/>
    <w:rsid w:val="007D3462"/>
    <w:rsid w:val="007E17D5"/>
    <w:rsid w:val="007E1911"/>
    <w:rsid w:val="007F181A"/>
    <w:rsid w:val="00803982"/>
    <w:rsid w:val="0080579A"/>
    <w:rsid w:val="008171D4"/>
    <w:rsid w:val="008212C6"/>
    <w:rsid w:val="0083235D"/>
    <w:rsid w:val="00832A25"/>
    <w:rsid w:val="00834179"/>
    <w:rsid w:val="008360E8"/>
    <w:rsid w:val="0084602D"/>
    <w:rsid w:val="00852BD5"/>
    <w:rsid w:val="00854CF0"/>
    <w:rsid w:val="00864110"/>
    <w:rsid w:val="008641E2"/>
    <w:rsid w:val="008719E6"/>
    <w:rsid w:val="00875107"/>
    <w:rsid w:val="00875AC8"/>
    <w:rsid w:val="0088002B"/>
    <w:rsid w:val="00882017"/>
    <w:rsid w:val="00884A9F"/>
    <w:rsid w:val="00887A49"/>
    <w:rsid w:val="008925EB"/>
    <w:rsid w:val="008A0C5F"/>
    <w:rsid w:val="008A1098"/>
    <w:rsid w:val="008A4B3E"/>
    <w:rsid w:val="008A4FA7"/>
    <w:rsid w:val="008A7AFC"/>
    <w:rsid w:val="008B1227"/>
    <w:rsid w:val="008D4447"/>
    <w:rsid w:val="008E533E"/>
    <w:rsid w:val="008F1D15"/>
    <w:rsid w:val="008F35AC"/>
    <w:rsid w:val="008F669A"/>
    <w:rsid w:val="00905616"/>
    <w:rsid w:val="00907963"/>
    <w:rsid w:val="009144DB"/>
    <w:rsid w:val="009212D9"/>
    <w:rsid w:val="009222D8"/>
    <w:rsid w:val="0092521C"/>
    <w:rsid w:val="00927199"/>
    <w:rsid w:val="00931647"/>
    <w:rsid w:val="00936613"/>
    <w:rsid w:val="00937788"/>
    <w:rsid w:val="00940971"/>
    <w:rsid w:val="00956995"/>
    <w:rsid w:val="009578FE"/>
    <w:rsid w:val="009601D4"/>
    <w:rsid w:val="0096078C"/>
    <w:rsid w:val="0096595E"/>
    <w:rsid w:val="009659AB"/>
    <w:rsid w:val="009A2C52"/>
    <w:rsid w:val="009A5056"/>
    <w:rsid w:val="009A7275"/>
    <w:rsid w:val="009B3B12"/>
    <w:rsid w:val="009B7893"/>
    <w:rsid w:val="009C4898"/>
    <w:rsid w:val="009D1C79"/>
    <w:rsid w:val="009D5254"/>
    <w:rsid w:val="009E5EE5"/>
    <w:rsid w:val="009F02B3"/>
    <w:rsid w:val="009F0DD9"/>
    <w:rsid w:val="009F4DCE"/>
    <w:rsid w:val="00A06119"/>
    <w:rsid w:val="00A1645A"/>
    <w:rsid w:val="00A23987"/>
    <w:rsid w:val="00A25FB3"/>
    <w:rsid w:val="00A36618"/>
    <w:rsid w:val="00A37A8D"/>
    <w:rsid w:val="00A40883"/>
    <w:rsid w:val="00A47F67"/>
    <w:rsid w:val="00A51104"/>
    <w:rsid w:val="00A65710"/>
    <w:rsid w:val="00A81730"/>
    <w:rsid w:val="00A862C3"/>
    <w:rsid w:val="00A86680"/>
    <w:rsid w:val="00A9689C"/>
    <w:rsid w:val="00AA5601"/>
    <w:rsid w:val="00AB0A25"/>
    <w:rsid w:val="00AC555D"/>
    <w:rsid w:val="00AD0815"/>
    <w:rsid w:val="00AD2501"/>
    <w:rsid w:val="00AD5F26"/>
    <w:rsid w:val="00AD66FC"/>
    <w:rsid w:val="00AE022D"/>
    <w:rsid w:val="00AF7DD9"/>
    <w:rsid w:val="00B04635"/>
    <w:rsid w:val="00B059FE"/>
    <w:rsid w:val="00B21BC8"/>
    <w:rsid w:val="00B30D70"/>
    <w:rsid w:val="00B30EA8"/>
    <w:rsid w:val="00B31C40"/>
    <w:rsid w:val="00B33337"/>
    <w:rsid w:val="00B5071D"/>
    <w:rsid w:val="00B55032"/>
    <w:rsid w:val="00B6012D"/>
    <w:rsid w:val="00B613E4"/>
    <w:rsid w:val="00B70170"/>
    <w:rsid w:val="00B8699D"/>
    <w:rsid w:val="00B91783"/>
    <w:rsid w:val="00B9593D"/>
    <w:rsid w:val="00B9771E"/>
    <w:rsid w:val="00BA6BC3"/>
    <w:rsid w:val="00BB7253"/>
    <w:rsid w:val="00BC4AA9"/>
    <w:rsid w:val="00BC6556"/>
    <w:rsid w:val="00BD0F68"/>
    <w:rsid w:val="00BD2974"/>
    <w:rsid w:val="00BD343D"/>
    <w:rsid w:val="00BD598A"/>
    <w:rsid w:val="00BE78E9"/>
    <w:rsid w:val="00C02D96"/>
    <w:rsid w:val="00C07E26"/>
    <w:rsid w:val="00C15356"/>
    <w:rsid w:val="00C22B6C"/>
    <w:rsid w:val="00C31759"/>
    <w:rsid w:val="00C33A93"/>
    <w:rsid w:val="00C462B2"/>
    <w:rsid w:val="00C51A70"/>
    <w:rsid w:val="00C51D08"/>
    <w:rsid w:val="00C57AC7"/>
    <w:rsid w:val="00C6345F"/>
    <w:rsid w:val="00C80463"/>
    <w:rsid w:val="00C87B8F"/>
    <w:rsid w:val="00CA3331"/>
    <w:rsid w:val="00CA66DC"/>
    <w:rsid w:val="00CB07AD"/>
    <w:rsid w:val="00CB609F"/>
    <w:rsid w:val="00CC18DE"/>
    <w:rsid w:val="00CC1D4C"/>
    <w:rsid w:val="00CC7632"/>
    <w:rsid w:val="00CD1ABA"/>
    <w:rsid w:val="00CD57A1"/>
    <w:rsid w:val="00CD793C"/>
    <w:rsid w:val="00CD7F2E"/>
    <w:rsid w:val="00CE36B5"/>
    <w:rsid w:val="00CE744B"/>
    <w:rsid w:val="00CF6B42"/>
    <w:rsid w:val="00D01CD2"/>
    <w:rsid w:val="00D020BD"/>
    <w:rsid w:val="00D13431"/>
    <w:rsid w:val="00D23470"/>
    <w:rsid w:val="00D34221"/>
    <w:rsid w:val="00D41760"/>
    <w:rsid w:val="00D517CD"/>
    <w:rsid w:val="00D75050"/>
    <w:rsid w:val="00D842DF"/>
    <w:rsid w:val="00D86074"/>
    <w:rsid w:val="00D94442"/>
    <w:rsid w:val="00D969FF"/>
    <w:rsid w:val="00DB5025"/>
    <w:rsid w:val="00DB5511"/>
    <w:rsid w:val="00DC0F08"/>
    <w:rsid w:val="00DC5E03"/>
    <w:rsid w:val="00DD5973"/>
    <w:rsid w:val="00DE1E49"/>
    <w:rsid w:val="00DE4768"/>
    <w:rsid w:val="00DF2836"/>
    <w:rsid w:val="00DF4DBB"/>
    <w:rsid w:val="00DF5143"/>
    <w:rsid w:val="00DF6487"/>
    <w:rsid w:val="00E16F53"/>
    <w:rsid w:val="00E2563C"/>
    <w:rsid w:val="00E27208"/>
    <w:rsid w:val="00E30C86"/>
    <w:rsid w:val="00E316FE"/>
    <w:rsid w:val="00E3336E"/>
    <w:rsid w:val="00E42000"/>
    <w:rsid w:val="00E43389"/>
    <w:rsid w:val="00E441D6"/>
    <w:rsid w:val="00E46FDC"/>
    <w:rsid w:val="00E47FB8"/>
    <w:rsid w:val="00E60F9C"/>
    <w:rsid w:val="00E8470E"/>
    <w:rsid w:val="00E872C5"/>
    <w:rsid w:val="00E92D46"/>
    <w:rsid w:val="00EA1829"/>
    <w:rsid w:val="00EA2EFC"/>
    <w:rsid w:val="00EA5E8C"/>
    <w:rsid w:val="00EB02BE"/>
    <w:rsid w:val="00EB40BC"/>
    <w:rsid w:val="00EC25F0"/>
    <w:rsid w:val="00EC2A15"/>
    <w:rsid w:val="00EF3216"/>
    <w:rsid w:val="00EF474F"/>
    <w:rsid w:val="00EF4AC5"/>
    <w:rsid w:val="00F0421C"/>
    <w:rsid w:val="00F13126"/>
    <w:rsid w:val="00F16981"/>
    <w:rsid w:val="00F22D4D"/>
    <w:rsid w:val="00F35B52"/>
    <w:rsid w:val="00F367B3"/>
    <w:rsid w:val="00F37CA9"/>
    <w:rsid w:val="00F43573"/>
    <w:rsid w:val="00F447A2"/>
    <w:rsid w:val="00F776C2"/>
    <w:rsid w:val="00F96AA3"/>
    <w:rsid w:val="00FA47EF"/>
    <w:rsid w:val="00FB33F4"/>
    <w:rsid w:val="00FB60BB"/>
    <w:rsid w:val="00FC3259"/>
    <w:rsid w:val="00FC6159"/>
    <w:rsid w:val="00FD5B33"/>
    <w:rsid w:val="00FE1554"/>
    <w:rsid w:val="00FE3E14"/>
    <w:rsid w:val="00FE65B4"/>
    <w:rsid w:val="00FE6C82"/>
    <w:rsid w:val="00FF2020"/>
    <w:rsid w:val="00FF61CC"/>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EEBB4"/>
  <w15:chartTrackingRefBased/>
  <w15:docId w15:val="{CD6CF6CF-63B1-4549-8DD8-32C65498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6E1C19"/>
    <w:pPr>
      <w:spacing w:after="120"/>
    </w:pPr>
    <w:rPr>
      <w:rFonts w:ascii="Arial" w:eastAsiaTheme="minorEastAsia" w:hAnsi="Arial"/>
      <w:sz w:val="20"/>
    </w:rPr>
  </w:style>
  <w:style w:type="paragraph" w:styleId="Heading1">
    <w:name w:val="heading 1"/>
    <w:basedOn w:val="Normal"/>
    <w:next w:val="Normal"/>
    <w:link w:val="Heading1Char"/>
    <w:autoRedefine/>
    <w:uiPriority w:val="9"/>
    <w:qFormat/>
    <w:rsid w:val="00653BA5"/>
    <w:pPr>
      <w:widowControl w:val="0"/>
      <w:suppressAutoHyphens/>
      <w:autoSpaceDE w:val="0"/>
      <w:autoSpaceDN w:val="0"/>
      <w:adjustRightInd w:val="0"/>
      <w:spacing w:before="12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7274E7"/>
    <w:pPr>
      <w:spacing w:before="240"/>
      <w:outlineLvl w:val="1"/>
    </w:pPr>
    <w:rPr>
      <w:rFonts w:cs="Arial"/>
      <w:b/>
      <w:bCs/>
      <w:sz w:val="32"/>
      <w:szCs w:val="40"/>
    </w:rPr>
  </w:style>
  <w:style w:type="paragraph" w:styleId="Heading3">
    <w:name w:val="heading 3"/>
    <w:basedOn w:val="Normal"/>
    <w:next w:val="Normal"/>
    <w:link w:val="Heading3Char"/>
    <w:autoRedefine/>
    <w:uiPriority w:val="9"/>
    <w:unhideWhenUsed/>
    <w:qFormat/>
    <w:rsid w:val="007274E7"/>
    <w:pPr>
      <w:spacing w:before="240"/>
      <w:outlineLvl w:val="2"/>
    </w:pPr>
    <w:rPr>
      <w:rFonts w:cs="Arial"/>
      <w:bCs/>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653BA5"/>
    <w:rPr>
      <w:rFonts w:ascii="Arial" w:eastAsia="MS Mincho" w:hAnsi="Arial" w:cs="Arial"/>
      <w:b/>
      <w:color w:val="05325F" w:themeColor="text2"/>
      <w:sz w:val="36"/>
      <w:szCs w:val="48"/>
      <w:lang w:val="en-GB"/>
    </w:rPr>
  </w:style>
  <w:style w:type="character" w:customStyle="1" w:styleId="Heading2Char">
    <w:name w:val="Heading 2 Char"/>
    <w:basedOn w:val="DefaultParagraphFont"/>
    <w:link w:val="Heading2"/>
    <w:uiPriority w:val="9"/>
    <w:rsid w:val="007274E7"/>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34"/>
    <w:qFormat/>
    <w:rsid w:val="0055582F"/>
    <w:pPr>
      <w:numPr>
        <w:numId w:val="3"/>
      </w:numPr>
      <w:tabs>
        <w:tab w:val="left" w:pos="2835"/>
      </w:tabs>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qFormat/>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qFormat/>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1"/>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6D0BCD"/>
    <w:rPr>
      <w:rFonts w:ascii="Arial Black" w:eastAsia="MS Mincho" w:hAnsi="Arial Black" w:cs="Arial"/>
      <w:b/>
      <w:color w:val="05325F" w:themeColor="text2"/>
      <w:sz w:val="48"/>
      <w:szCs w:val="48"/>
      <w:lang w:val="en-GB"/>
    </w:rPr>
  </w:style>
  <w:style w:type="character" w:customStyle="1" w:styleId="UltraHeadingChar">
    <w:name w:val="Ultra Heading Char"/>
    <w:basedOn w:val="Heading1Char"/>
    <w:link w:val="UltraHeading"/>
    <w:rsid w:val="006D0BCD"/>
    <w:rPr>
      <w:rFonts w:ascii="Arial Black" w:eastAsia="MS Mincho" w:hAnsi="Arial Black" w:cs="Arial"/>
      <w:b/>
      <w:color w:val="05325F" w:themeColor="text2"/>
      <w:sz w:val="48"/>
      <w:szCs w:val="48"/>
      <w:lang w:val="en-GB"/>
    </w:rPr>
  </w:style>
  <w:style w:type="character" w:styleId="Hyperlink">
    <w:name w:val="Hyperlink"/>
    <w:basedOn w:val="DefaultParagraphFont"/>
    <w:uiPriority w:val="99"/>
    <w:unhideWhenUsed/>
    <w:rsid w:val="00FD5B33"/>
    <w:rPr>
      <w:color w:val="0563C1" w:themeColor="hyperlink"/>
      <w:u w:val="single"/>
    </w:rPr>
  </w:style>
  <w:style w:type="paragraph" w:styleId="TOCHeading">
    <w:name w:val="TOC Heading"/>
    <w:basedOn w:val="Heading1"/>
    <w:next w:val="Normal"/>
    <w:uiPriority w:val="39"/>
    <w:unhideWhenUsed/>
    <w:qFormat/>
    <w:rsid w:val="000E0467"/>
    <w:pPr>
      <w:keepNext/>
      <w:keepLines/>
      <w:widowControl/>
      <w:suppressAutoHyphens w:val="0"/>
      <w:autoSpaceDE/>
      <w:autoSpaceDN/>
      <w:adjustRightInd/>
      <w:spacing w:before="240" w:after="0" w:line="259" w:lineRule="auto"/>
      <w:textAlignment w:val="auto"/>
      <w:outlineLvl w:val="9"/>
    </w:pPr>
    <w:rPr>
      <w:rFonts w:asciiTheme="majorHAnsi" w:eastAsiaTheme="majorEastAsia" w:hAnsiTheme="majorHAnsi" w:cstheme="majorBidi"/>
      <w:b w:val="0"/>
      <w:color w:val="000000" w:themeColor="accent1" w:themeShade="BF"/>
      <w:sz w:val="32"/>
      <w:szCs w:val="32"/>
      <w:lang w:val="en-US"/>
    </w:rPr>
  </w:style>
  <w:style w:type="paragraph" w:styleId="TOC1">
    <w:name w:val="toc 1"/>
    <w:basedOn w:val="Normal"/>
    <w:next w:val="Normal"/>
    <w:autoRedefine/>
    <w:uiPriority w:val="39"/>
    <w:unhideWhenUsed/>
    <w:qFormat/>
    <w:rsid w:val="000E0467"/>
    <w:pPr>
      <w:spacing w:after="100"/>
    </w:pPr>
  </w:style>
  <w:style w:type="paragraph" w:styleId="TOC3">
    <w:name w:val="toc 3"/>
    <w:basedOn w:val="Normal"/>
    <w:next w:val="Normal"/>
    <w:autoRedefine/>
    <w:uiPriority w:val="39"/>
    <w:unhideWhenUsed/>
    <w:qFormat/>
    <w:rsid w:val="000E0467"/>
    <w:pPr>
      <w:spacing w:after="100"/>
      <w:ind w:left="400"/>
    </w:pPr>
  </w:style>
  <w:style w:type="paragraph" w:styleId="TOC2">
    <w:name w:val="toc 2"/>
    <w:basedOn w:val="Normal"/>
    <w:next w:val="Normal"/>
    <w:autoRedefine/>
    <w:uiPriority w:val="39"/>
    <w:unhideWhenUsed/>
    <w:qFormat/>
    <w:rsid w:val="000E0467"/>
    <w:pPr>
      <w:spacing w:after="100"/>
      <w:ind w:left="200"/>
    </w:pPr>
  </w:style>
  <w:style w:type="character" w:styleId="CommentReference">
    <w:name w:val="annotation reference"/>
    <w:basedOn w:val="DefaultParagraphFont"/>
    <w:uiPriority w:val="99"/>
    <w:unhideWhenUsed/>
    <w:rsid w:val="0025085D"/>
    <w:rPr>
      <w:sz w:val="16"/>
      <w:szCs w:val="16"/>
    </w:rPr>
  </w:style>
  <w:style w:type="paragraph" w:styleId="CommentText">
    <w:name w:val="annotation text"/>
    <w:basedOn w:val="Normal"/>
    <w:link w:val="CommentTextChar"/>
    <w:uiPriority w:val="99"/>
    <w:unhideWhenUsed/>
    <w:rsid w:val="0025085D"/>
    <w:pPr>
      <w:spacing w:after="160"/>
    </w:pPr>
    <w:rPr>
      <w:rFonts w:eastAsiaTheme="minorHAnsi"/>
      <w:szCs w:val="20"/>
    </w:rPr>
  </w:style>
  <w:style w:type="character" w:customStyle="1" w:styleId="CommentTextChar">
    <w:name w:val="Comment Text Char"/>
    <w:basedOn w:val="DefaultParagraphFont"/>
    <w:link w:val="CommentText"/>
    <w:uiPriority w:val="99"/>
    <w:rsid w:val="0025085D"/>
    <w:rPr>
      <w:rFonts w:ascii="Arial" w:hAnsi="Arial"/>
      <w:sz w:val="20"/>
      <w:szCs w:val="20"/>
    </w:rPr>
  </w:style>
  <w:style w:type="paragraph" w:customStyle="1" w:styleId="Default">
    <w:name w:val="Default"/>
    <w:rsid w:val="0025085D"/>
    <w:pPr>
      <w:autoSpaceDE w:val="0"/>
      <w:autoSpaceDN w:val="0"/>
      <w:adjustRightInd w:val="0"/>
    </w:pPr>
    <w:rPr>
      <w:rFonts w:ascii="Arial" w:hAnsi="Arial" w:cs="Arial"/>
      <w:color w:val="000000"/>
    </w:rPr>
  </w:style>
  <w:style w:type="paragraph" w:styleId="Revision">
    <w:name w:val="Revision"/>
    <w:hidden/>
    <w:uiPriority w:val="99"/>
    <w:semiHidden/>
    <w:rsid w:val="00781DA5"/>
    <w:rPr>
      <w:rFonts w:ascii="Arial" w:eastAsiaTheme="minorEastAsia" w:hAnsi="Arial"/>
      <w:sz w:val="20"/>
    </w:rPr>
  </w:style>
  <w:style w:type="character" w:styleId="UnresolvedMention">
    <w:name w:val="Unresolved Mention"/>
    <w:basedOn w:val="DefaultParagraphFont"/>
    <w:uiPriority w:val="99"/>
    <w:rsid w:val="00F13126"/>
    <w:rPr>
      <w:color w:val="605E5C"/>
      <w:shd w:val="clear" w:color="auto" w:fill="E1DFDD"/>
    </w:rPr>
  </w:style>
  <w:style w:type="character" w:styleId="FollowedHyperlink">
    <w:name w:val="FollowedHyperlink"/>
    <w:basedOn w:val="DefaultParagraphFont"/>
    <w:uiPriority w:val="99"/>
    <w:semiHidden/>
    <w:unhideWhenUsed/>
    <w:rsid w:val="004D25EE"/>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191869"/>
    <w:pPr>
      <w:spacing w:after="120"/>
    </w:pPr>
    <w:rPr>
      <w:rFonts w:eastAsiaTheme="minorEastAsia"/>
      <w:b/>
      <w:bCs/>
    </w:rPr>
  </w:style>
  <w:style w:type="character" w:customStyle="1" w:styleId="CommentSubjectChar">
    <w:name w:val="Comment Subject Char"/>
    <w:basedOn w:val="CommentTextChar"/>
    <w:link w:val="CommentSubject"/>
    <w:uiPriority w:val="99"/>
    <w:semiHidden/>
    <w:rsid w:val="00191869"/>
    <w:rPr>
      <w:rFonts w:ascii="Arial" w:eastAsiaTheme="minorEastAsia"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619184958">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3305963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Policy@qld.gov.au" TargetMode="External"/><Relationship Id="rId18" Type="http://schemas.openxmlformats.org/officeDocument/2006/relationships/hyperlink" Target="https://www.forgov.qld.gov.au/finance-procurement-and-travel/procurement/procurement-resources/procurement-guidance" TargetMode="External"/><Relationship Id="rId26" Type="http://schemas.openxmlformats.org/officeDocument/2006/relationships/hyperlink" Target="https://www.forgov.qld.gov.au/finance-procurement-and-travel/procurement/procurement-resources/procurement-policies-and-frameworks/queensland-procurement-policy-2026" TargetMode="External"/><Relationship Id="rId39" Type="http://schemas.openxmlformats.org/officeDocument/2006/relationships/header" Target="header1.xml"/><Relationship Id="rId21" Type="http://schemas.openxmlformats.org/officeDocument/2006/relationships/hyperlink" Target="https://www.forgov.qld.gov.au/communication-and-publishing/publish-on-queensland-government-websites/publish-on-the-queensland-government-website/publish-agency-data-data-portal/request-publishing-access-to-the-data-and-publications-portals" TargetMode="External"/><Relationship Id="rId34" Type="http://schemas.openxmlformats.org/officeDocument/2006/relationships/hyperlink" Target="https://staging.data.qld.gov.au/user/login"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orgov.qld.gov.au/finance-procurement-and-travel/procurement/procurement-resources/procurement-policies-and-frameworks/queensland-procurement-policy-2026" TargetMode="External"/><Relationship Id="rId29" Type="http://schemas.openxmlformats.org/officeDocument/2006/relationships/hyperlink" Target="https://www.forgov.qld.gov.au/finance-procurement-and-travel/procurement/procurement-resources/search-for-procurement-policies-resources-tools-and-templates/use-and-disclosure-of-confidentiality-provisions-in-government-contrac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login.vendorpanel.com.au/Account/Login" TargetMode="External"/><Relationship Id="rId32" Type="http://schemas.openxmlformats.org/officeDocument/2006/relationships/hyperlink" Target="https://www.data.qld.gov.au/article/standards-and-guidance/strategies" TargetMode="External"/><Relationship Id="rId37" Type="http://schemas.openxmlformats.org/officeDocument/2006/relationships/hyperlink" Target="https://www.publications.qld.gov.au/user/login"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ata.qld.gov.au/" TargetMode="External"/><Relationship Id="rId23" Type="http://schemas.openxmlformats.org/officeDocument/2006/relationships/hyperlink" Target="https://www.forgov.qld.gov.au/finance-procurement-and-travel/procurement/procurement-resources/procurement-policies-and-frameworks/queensland-procurement-policy-2026" TargetMode="External"/><Relationship Id="rId28" Type="http://schemas.openxmlformats.org/officeDocument/2006/relationships/hyperlink" Target="https://www.treasury.qld.gov.au/files/Queensland-Leasing-Approval-Policy-for-Public-Sector-Entities-10.06.2020.pdf" TargetMode="External"/><Relationship Id="rId36" Type="http://schemas.openxmlformats.org/officeDocument/2006/relationships/hyperlink" Target="https://staging.publications.qld.gov.au/user/login" TargetMode="External"/><Relationship Id="rId10" Type="http://schemas.openxmlformats.org/officeDocument/2006/relationships/endnotes" Target="endnotes.xml"/><Relationship Id="rId19" Type="http://schemas.openxmlformats.org/officeDocument/2006/relationships/hyperlink" Target="https://www.forgov.qld.gov.au/finance-procurement-and-travel/procurement/procurement-resources/search-for-procurement-policies-resources-tools-and-templates/use-and-disclosure-of-confidentiality-provisions-in-government-contracts" TargetMode="External"/><Relationship Id="rId31" Type="http://schemas.openxmlformats.org/officeDocument/2006/relationships/hyperlink" Target="https://www.data.qld.gov.au/article/standards-and-guidance/publishing-guides-standards/open-data-portal-publishing-guide"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rgov.qld.gov.au/finance-procurement-and-travel/procurement/procurement-resources/procurement-policies-and-frameworks/queensland-procurement-policy-2026" TargetMode="External"/><Relationship Id="rId22" Type="http://schemas.openxmlformats.org/officeDocument/2006/relationships/hyperlink" Target="https://www.forgov.qld.gov.au/finance-procurement-and-travel/procurement/procurement-resources/procurement-guidance" TargetMode="External"/><Relationship Id="rId27" Type="http://schemas.openxmlformats.org/officeDocument/2006/relationships/hyperlink" Target="https://www.statedevelopment.qld.gov.au/strategic-industries/business-support/getting-involved-in-major-projects/investment-transactions/qld-gov-land-transaction-policy" TargetMode="External"/><Relationship Id="rId30" Type="http://schemas.openxmlformats.org/officeDocument/2006/relationships/hyperlink" Target="https://www.data.qld.gov.au/article/standards-and-guidance/publishing-guides-standards/resource-formatting" TargetMode="External"/><Relationship Id="rId35" Type="http://schemas.openxmlformats.org/officeDocument/2006/relationships/hyperlink" Target="https://www.data.qld.gov.au/user/login" TargetMode="External"/><Relationship Id="rId43"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creativecommons.org/licenses/by/4.0/deed.en" TargetMode="External"/><Relationship Id="rId17" Type="http://schemas.openxmlformats.org/officeDocument/2006/relationships/hyperlink" Target="https://www.forgov.qld.gov.au/finance-procurement-and-travel/procurement/procurement-resources/search-for-procurement-policies-resources-tools-and-templates/use-and-disclosure-of-confidentiality-provisions-in-government-contracts" TargetMode="External"/><Relationship Id="rId25" Type="http://schemas.openxmlformats.org/officeDocument/2006/relationships/hyperlink" Target="mailto:bsu@epw.qld.gov.au" TargetMode="External"/><Relationship Id="rId33" Type="http://schemas.openxmlformats.org/officeDocument/2006/relationships/hyperlink" Target="https://www.publications.qld.gov.au/dataset/publishing-standards-data-qld-gov-au" TargetMode="External"/><Relationship Id="rId38" Type="http://schemas.openxmlformats.org/officeDocument/2006/relationships/hyperlink" Target="https://www.data.qld.gov.au/article/contact/general-open-data-enquiry" TargetMode="External"/><Relationship Id="rId46" Type="http://schemas.openxmlformats.org/officeDocument/2006/relationships/theme" Target="theme/theme1.xml"/><Relationship Id="rId20" Type="http://schemas.openxmlformats.org/officeDocument/2006/relationships/hyperlink" Target="https://www.data.qld.gov.au/" TargetMode="External"/><Relationship Id="rId41"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64b93e-5338-4201-ad42-2a14a08fead3" xsi:nil="true"/>
    <lcf76f155ced4ddcb4097134ff3c332f xmlns="5ec4e1a3-9465-43a5-9858-85b06e73710c">
      <Terms xmlns="http://schemas.microsoft.com/office/infopath/2007/PartnerControls"/>
    </lcf76f155ced4ddcb4097134ff3c332f>
    <Notes xmlns="5ec4e1a3-9465-43a5-9858-85b06e7371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94A0E58926F24FADA8275C9A2F9B1E" ma:contentTypeVersion="17" ma:contentTypeDescription="Create a new document." ma:contentTypeScope="" ma:versionID="f442eb348c0619ddfc97c10acb6e2076">
  <xsd:schema xmlns:xsd="http://www.w3.org/2001/XMLSchema" xmlns:xs="http://www.w3.org/2001/XMLSchema" xmlns:p="http://schemas.microsoft.com/office/2006/metadata/properties" xmlns:ns2="5ec4e1a3-9465-43a5-9858-85b06e73710c" xmlns:ns3="2f64b93e-5338-4201-ad42-2a14a08fead3" targetNamespace="http://schemas.microsoft.com/office/2006/metadata/properties" ma:root="true" ma:fieldsID="cba3d53868025f9ab731e4986c898106" ns2:_="" ns3:_="">
    <xsd:import namespace="5ec4e1a3-9465-43a5-9858-85b06e73710c"/>
    <xsd:import namespace="2f64b93e-5338-4201-ad42-2a14a08fea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4e1a3-9465-43a5-9858-85b06e737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4b93e-5338-4201-ad42-2a14a08fea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ff6bc0-145c-4191-b4ad-94a90267f08d}" ma:internalName="TaxCatchAll" ma:showField="CatchAllData" ma:web="2f64b93e-5338-4201-ad42-2a14a08fe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2.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3.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2f64b93e-5338-4201-ad42-2a14a08fead3"/>
    <ds:schemaRef ds:uri="5ec4e1a3-9465-43a5-9858-85b06e73710c"/>
  </ds:schemaRefs>
</ds:datastoreItem>
</file>

<file path=customXml/itemProps4.xml><?xml version="1.0" encoding="utf-8"?>
<ds:datastoreItem xmlns:ds="http://schemas.openxmlformats.org/officeDocument/2006/customXml" ds:itemID="{82F5714A-8643-4C18-9F02-E3D18142B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4e1a3-9465-43a5-9858-85b06e73710c"/>
    <ds:schemaRef ds:uri="2f64b93e-5338-4201-ad42-2a14a08fe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5354</Words>
  <Characters>30445</Characters>
  <Application>Microsoft Office Word</Application>
  <DocSecurity>0</DocSecurity>
  <Lines>658</Lines>
  <Paragraphs>357</Paragraphs>
  <ScaleCrop>false</ScaleCrop>
  <HeadingPairs>
    <vt:vector size="2" baseType="variant">
      <vt:variant>
        <vt:lpstr>Title</vt:lpstr>
      </vt:variant>
      <vt:variant>
        <vt:i4>1</vt:i4>
      </vt:variant>
    </vt:vector>
  </HeadingPairs>
  <TitlesOfParts>
    <vt:vector size="1" baseType="lpstr">
      <vt:lpstr>A4P Document-no-cover-DfQ</vt:lpstr>
    </vt:vector>
  </TitlesOfParts>
  <Company/>
  <LinksUpToDate>false</LinksUpToDate>
  <CharactersWithSpaces>35605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disclosure guide</dc:title>
  <dc:subject/>
  <dc:creator>Queensland Government</dc:creator>
  <cp:keywords/>
  <dc:description/>
  <cp:lastModifiedBy>Sean Lim</cp:lastModifiedBy>
  <cp:revision>13</cp:revision>
  <cp:lastPrinted>2026-05-04T22:51:00Z</cp:lastPrinted>
  <dcterms:created xsi:type="dcterms:W3CDTF">2026-02-09T22:22:00Z</dcterms:created>
  <dcterms:modified xsi:type="dcterms:W3CDTF">2026-05-04T22:51:00Z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0x0101009394A0E58926F24FADA8275C9A2F9B1E</vt:lpwstr>
  </property>
  <property fmtid="{D5CDD505-2E9C-101B-9397-08002B2CF9AE}" pid="3" name="_dlc_DocIdItemGuid">
    <vt:lpwstr>177437fe-fcd7-42fc-a979-86efea21a4c1</vt:lpwstr>
  </property>
  <property fmtid="{D5CDD505-2E9C-101B-9397-08002B2CF9AE}" pid="4" name="MediaServiceImageTags">
    <vt:lpwstr/>
  </property>
</Properties>
</file>