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C3" w:rsidRDefault="009860C3" w:rsidP="009860C3">
      <w:pPr>
        <w:pStyle w:val="Appendix1"/>
        <w:numPr>
          <w:ilvl w:val="0"/>
          <w:numId w:val="0"/>
        </w:numPr>
        <w:ind w:left="2268" w:hanging="2268"/>
        <w:rPr>
          <w:lang w:val="en-US"/>
        </w:rPr>
      </w:pPr>
      <w:bookmarkStart w:id="0" w:name="_Toc523382408"/>
      <w:r>
        <w:rPr>
          <w:lang w:val="en-US"/>
        </w:rPr>
        <w:t>Appendix E</w:t>
      </w:r>
      <w:r>
        <w:rPr>
          <w:lang w:val="en-US"/>
        </w:rPr>
        <w:tab/>
      </w:r>
      <w:r>
        <w:rPr>
          <w:lang w:val="en-US"/>
        </w:rPr>
        <w:t>Mapping between old and new confidentiality classifications</w:t>
      </w:r>
      <w:bookmarkEnd w:id="0"/>
    </w:p>
    <w:p w:rsidR="009860C3" w:rsidRDefault="009860C3" w:rsidP="009860C3">
      <w:pPr>
        <w:pStyle w:val="BodyText1"/>
        <w:widowControl w:val="0"/>
        <w:ind w:left="0"/>
      </w:pPr>
      <w:r w:rsidRPr="11A7C95C">
        <w:t xml:space="preserve">The </w:t>
      </w:r>
      <w:r>
        <w:t xml:space="preserve">following </w:t>
      </w:r>
      <w:r w:rsidRPr="11A7C95C">
        <w:t xml:space="preserve">table </w:t>
      </w:r>
      <w:r>
        <w:t>p</w:t>
      </w:r>
      <w:r w:rsidRPr="11A7C95C">
        <w:t xml:space="preserve">rovides a default mapping between old and new classification </w:t>
      </w:r>
      <w:r>
        <w:t>labels</w:t>
      </w:r>
    </w:p>
    <w:p w:rsidR="009860C3" w:rsidRDefault="009860C3" w:rsidP="009860C3">
      <w:pPr>
        <w:pStyle w:val="BodyText1"/>
        <w:widowControl w:val="0"/>
        <w:ind w:left="0"/>
      </w:pPr>
    </w:p>
    <w:tbl>
      <w:tblPr>
        <w:tblW w:w="0" w:type="auto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</w:tblBorders>
        <w:tblLook w:val="04A0" w:firstRow="1" w:lastRow="0" w:firstColumn="1" w:lastColumn="0" w:noHBand="0" w:noVBand="1"/>
      </w:tblPr>
      <w:tblGrid>
        <w:gridCol w:w="1548"/>
        <w:gridCol w:w="2352"/>
        <w:gridCol w:w="1494"/>
        <w:gridCol w:w="1500"/>
        <w:gridCol w:w="4132"/>
      </w:tblGrid>
      <w:tr w:rsidR="009860C3" w:rsidRPr="00FC1559" w:rsidTr="00B77ACD">
        <w:trPr>
          <w:cantSplit/>
          <w:trHeight w:val="184"/>
        </w:trPr>
        <w:tc>
          <w:tcPr>
            <w:tcW w:w="0" w:type="auto"/>
            <w:vMerge w:val="restart"/>
            <w:tcBorders>
              <w:top w:val="single" w:sz="12" w:space="0" w:color="B4C6E7"/>
              <w:bottom w:val="single" w:sz="8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1" w:name="_Hlk521312650"/>
            <w:r w:rsidRPr="00FC1559"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  <w:t>QGISCF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single" w:sz="8" w:space="0" w:color="B4C6E7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  <w:t>Federal Current</w:t>
            </w:r>
            <w:r w:rsidRPr="00FC1559"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(2017)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single" w:sz="8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  <w:t>QGISCF 2018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single" w:sz="8" w:space="0" w:color="B4C6E7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  <w:t>Federal (2018) indicative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single" w:sz="8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Notes on QGISCF 2018</w:t>
            </w:r>
          </w:p>
        </w:tc>
      </w:tr>
      <w:tr w:rsidR="009860C3" w:rsidRPr="00FC1559" w:rsidTr="00B77ACD">
        <w:trPr>
          <w:cantSplit/>
          <w:trHeight w:val="450"/>
        </w:trPr>
        <w:tc>
          <w:tcPr>
            <w:tcW w:w="0" w:type="auto"/>
            <w:vMerge/>
            <w:tcBorders>
              <w:top w:val="nil"/>
              <w:bottom w:val="single" w:sz="8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60C3" w:rsidRPr="00FC1559" w:rsidTr="00B77ACD">
        <w:trPr>
          <w:cantSplit/>
        </w:trPr>
        <w:tc>
          <w:tcPr>
            <w:tcW w:w="0" w:type="auto"/>
            <w:tcBorders>
              <w:top w:val="single" w:sz="8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PUBLIC</w:t>
            </w:r>
          </w:p>
        </w:tc>
        <w:tc>
          <w:tcPr>
            <w:tcW w:w="0" w:type="auto"/>
            <w:vMerge w:val="restart"/>
            <w:tcBorders>
              <w:top w:val="single" w:sz="8" w:space="0" w:color="B4C6E7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UNCLASSIFIED</w:t>
            </w:r>
          </w:p>
        </w:tc>
        <w:tc>
          <w:tcPr>
            <w:tcW w:w="0" w:type="auto"/>
            <w:vMerge w:val="restart"/>
            <w:tcBorders>
              <w:top w:val="single" w:sz="8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OFFICIAL</w:t>
            </w:r>
          </w:p>
        </w:tc>
        <w:tc>
          <w:tcPr>
            <w:tcW w:w="0" w:type="auto"/>
            <w:vMerge w:val="restart"/>
            <w:tcBorders>
              <w:top w:val="single" w:sz="8" w:space="0" w:color="B4C6E7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OFFICIAL</w:t>
            </w:r>
          </w:p>
        </w:tc>
        <w:tc>
          <w:tcPr>
            <w:tcW w:w="0" w:type="auto"/>
            <w:tcBorders>
              <w:top w:val="single" w:sz="8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Official information is the day-to-day information of government. It may have low confidentiality impacts.  OFFICIAL information may not have Confidentiality 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requirements but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 may have Integrity or Availability requirements when controll</w:t>
            </w:r>
            <w:bookmarkStart w:id="2" w:name="_GoBack"/>
            <w:bookmarkEnd w:id="2"/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ed e.g. on public website.  Protect as normal government information.</w:t>
            </w:r>
          </w:p>
        </w:tc>
      </w:tr>
      <w:tr w:rsidR="009860C3" w:rsidRPr="00FC1559" w:rsidTr="00B77ACD">
        <w:trPr>
          <w:cantSplit/>
        </w:trPr>
        <w:tc>
          <w:tcPr>
            <w:tcW w:w="0" w:type="auto"/>
            <w:tcBorders>
              <w:bottom w:val="single" w:sz="12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UNCLASSIFIED</w:t>
            </w:r>
          </w:p>
        </w:tc>
        <w:tc>
          <w:tcPr>
            <w:tcW w:w="0" w:type="auto"/>
            <w:vMerge/>
            <w:tcBorders>
              <w:bottom w:val="single" w:sz="12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bottom w:val="single" w:sz="12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bottom w:val="single" w:sz="12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12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563C1"/>
                <w:sz w:val="16"/>
                <w:szCs w:val="22"/>
                <w:u w:val="single"/>
                <w:lang w:val="en-GB" w:eastAsia="en-GB"/>
              </w:rPr>
            </w:pPr>
            <w:hyperlink r:id="rId5" w:tooltip="Creative Commons Attribution 3.0 Licence" w:history="1">
              <w:r w:rsidRPr="00FC1559">
                <w:rPr>
                  <w:rFonts w:cs="Arial"/>
                  <w:color w:val="0563C1"/>
                  <w:sz w:val="16"/>
                  <w:szCs w:val="22"/>
                  <w:u w:val="single"/>
                  <w:lang w:val="en-GB" w:eastAsia="en-GB"/>
                </w:rPr>
                <w:t>Additional labels such as the Creative Commons Licence should be used to signify the information is Publication ready.</w:t>
              </w:r>
            </w:hyperlink>
          </w:p>
        </w:tc>
      </w:tr>
      <w:tr w:rsidR="009860C3" w:rsidRPr="00FC1559" w:rsidTr="00B77ACD">
        <w:trPr>
          <w:cantSplit/>
          <w:trHeight w:val="184"/>
        </w:trPr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COMMERCIAL-IN-CONFIDENCE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FOUO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SENSITIVE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OFFICIAL: Sensitive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auto" w:fill="auto"/>
            <w:vAlign w:val="center"/>
            <w:hideMark/>
          </w:tcPr>
          <w:p w:rsidR="009860C3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C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ommercial information may be OFFICIAL depending on Impact</w:t>
            </w:r>
          </w:p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FOUO information may be OFFICIAL depending on impact</w:t>
            </w:r>
          </w:p>
        </w:tc>
      </w:tr>
      <w:tr w:rsidR="009860C3" w:rsidRPr="00FC1559" w:rsidTr="00B77ACD">
        <w:trPr>
          <w:cantSplit/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60C3" w:rsidRPr="00FC1559" w:rsidTr="00B77ACD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IN-CONFIDENCE</w:t>
            </w:r>
          </w:p>
        </w:tc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SENSITIVE</w:t>
            </w: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SENSITIVE may be used where there is a need to restrict the audience that can access the information (e.g. a need to know basis).  This could include the Privacy Act or secrecy provisions in other legislation. For internal use, Agencies may wish to use additional labelling 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e.g.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 Privacy/Clinical, but not required </w:t>
            </w:r>
          </w:p>
        </w:tc>
      </w:tr>
      <w:tr w:rsidR="009860C3" w:rsidRPr="00FC1559" w:rsidTr="00B77ACD">
        <w:trPr>
          <w:cantSplit/>
        </w:trPr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Examples</w:t>
            </w:r>
          </w:p>
        </w:tc>
      </w:tr>
      <w:tr w:rsidR="009860C3" w:rsidRPr="00FC1559" w:rsidTr="00B77ACD">
        <w:trPr>
          <w:cantSplit/>
        </w:trPr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Legal professional privileged information;</w:t>
            </w:r>
          </w:p>
        </w:tc>
      </w:tr>
      <w:tr w:rsidR="009860C3" w:rsidRPr="00FC1559" w:rsidTr="00B77ACD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LEGAL-IN-CONFIDENCE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SENSITIVE: Legal</w:t>
            </w: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Sensitive personal information as recognised by the Queensland Information Privacy Act 2009 – religion, sexual orientation, political affiliation</w:t>
            </w:r>
          </w:p>
        </w:tc>
      </w:tr>
      <w:tr w:rsidR="009860C3" w:rsidRPr="00FC1559" w:rsidTr="00B77ACD">
        <w:trPr>
          <w:cantSplit/>
        </w:trPr>
        <w:tc>
          <w:tcPr>
            <w:tcW w:w="0" w:type="auto"/>
            <w:tcBorders>
              <w:bottom w:val="single" w:sz="12" w:space="0" w:color="B4C6E7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X-IN-CONFIDENCE</w:t>
            </w:r>
          </w:p>
        </w:tc>
        <w:tc>
          <w:tcPr>
            <w:tcW w:w="0" w:type="auto"/>
            <w:tcBorders>
              <w:bottom w:val="single" w:sz="12" w:space="0" w:color="B4C6E7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SENSITIVE: Personal</w:t>
            </w:r>
          </w:p>
        </w:tc>
        <w:tc>
          <w:tcPr>
            <w:tcW w:w="0" w:type="auto"/>
            <w:vMerge/>
            <w:tcBorders>
              <w:bottom w:val="single" w:sz="12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bottom w:val="single" w:sz="12" w:space="0" w:color="B4C6E7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12" w:space="0" w:color="B4C6E7"/>
            </w:tcBorders>
            <w:shd w:val="clear" w:color="auto" w:fill="auto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C155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9860C3" w:rsidRPr="00FC1559" w:rsidTr="00B77ACD">
        <w:trPr>
          <w:cantSplit/>
        </w:trPr>
        <w:tc>
          <w:tcPr>
            <w:tcW w:w="0" w:type="auto"/>
            <w:tcBorders>
              <w:top w:val="single" w:sz="12" w:space="0" w:color="B4C6E7"/>
              <w:bottom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CABINET-IN-CONFIDENCE</w:t>
            </w:r>
          </w:p>
        </w:tc>
        <w:tc>
          <w:tcPr>
            <w:tcW w:w="0" w:type="auto"/>
            <w:tcBorders>
              <w:top w:val="single" w:sz="12" w:space="0" w:color="B4C6E7"/>
              <w:bottom w:val="nil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SENSITIVE: Cabinet, PROTECTED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PROTECTED</w:t>
            </w:r>
          </w:p>
        </w:tc>
        <w:tc>
          <w:tcPr>
            <w:tcW w:w="0" w:type="auto"/>
            <w:vMerge w:val="restart"/>
            <w:tcBorders>
              <w:top w:val="single" w:sz="12" w:space="0" w:color="B4C6E7"/>
              <w:bottom w:val="nil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PROTECTED</w:t>
            </w:r>
          </w:p>
        </w:tc>
        <w:tc>
          <w:tcPr>
            <w:tcW w:w="0" w:type="auto"/>
            <w:tcBorders>
              <w:top w:val="single" w:sz="12" w:space="0" w:color="B4C6E7"/>
              <w:bottom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563C1"/>
                <w:sz w:val="20"/>
                <w:u w:val="single"/>
                <w:lang w:val="en-GB" w:eastAsia="en-GB"/>
              </w:rPr>
            </w:pPr>
            <w:hyperlink r:id="rId6" w:history="1">
              <w:r w:rsidRPr="00FC1559">
                <w:rPr>
                  <w:rFonts w:cs="Arial"/>
                  <w:color w:val="0563C1"/>
                  <w:sz w:val="16"/>
                  <w:u w:val="single"/>
                  <w:lang w:val="en-GB" w:eastAsia="en-GB"/>
                </w:rPr>
                <w:t>“The Queensland Cabinet Handbook – Governing Queensland” dictates security classification, markings and handling for Queensland Cabinet material.</w:t>
              </w:r>
              <w:r w:rsidRPr="00FC1559">
                <w:rPr>
                  <w:rFonts w:cs="Arial"/>
                  <w:color w:val="0563C1"/>
                  <w:sz w:val="18"/>
                  <w:u w:val="single"/>
                  <w:lang w:val="en-GB" w:eastAsia="en-GB"/>
                </w:rPr>
                <w:t xml:space="preserve"> </w:t>
              </w:r>
              <w:r w:rsidRPr="00FC1559">
                <w:rPr>
                  <w:rFonts w:cs="Arial"/>
                  <w:color w:val="0563C1"/>
                  <w:sz w:val="20"/>
                  <w:u w:val="single"/>
                  <w:lang w:val="en-GB" w:eastAsia="en-GB"/>
                </w:rPr>
                <w:t xml:space="preserve"> </w:t>
              </w:r>
            </w:hyperlink>
          </w:p>
        </w:tc>
      </w:tr>
      <w:tr w:rsidR="009860C3" w:rsidRPr="00FC1559" w:rsidTr="00B77ACD">
        <w:trPr>
          <w:cantSplit/>
          <w:trHeight w:val="184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PROTECTED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PROTECTED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PROTECTED information has high confidentiality requirements 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i.e.</w:t>
            </w: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 Direct actual risk to individual life / lives. Example: Identities of undercover officers    </w:t>
            </w:r>
          </w:p>
        </w:tc>
      </w:tr>
      <w:tr w:rsidR="009860C3" w:rsidRPr="00FC1559" w:rsidTr="00B77ACD">
        <w:trPr>
          <w:cantSplit/>
          <w:trHeight w:val="450"/>
        </w:trPr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60C3" w:rsidRPr="00FC1559" w:rsidTr="00B77ACD">
        <w:trPr>
          <w:cantSplit/>
          <w:trHeight w:val="18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HIGHLY PROTECTED (HP)</w:t>
            </w:r>
          </w:p>
        </w:tc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HP removed in 2010. Federal Agencies either reclassified to PROTECTED or SECRET depending on risk assessment</w:t>
            </w: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60C3" w:rsidRPr="00FC1559" w:rsidTr="00B77ACD">
        <w:trPr>
          <w:cantSplit/>
        </w:trPr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or SECRET (depending on risk assessment)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 xml:space="preserve"> or SECRET (depending on risk assessment)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60C3" w:rsidRPr="00FC1559" w:rsidRDefault="009860C3" w:rsidP="009860C3">
            <w:pPr>
              <w:widowControl w:val="0"/>
              <w:spacing w:before="0" w:line="240" w:lineRule="auto"/>
              <w:ind w:left="0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FC1559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HIGHLY PROTECTED material must be assessed by the owner to PROTECTED or SECRET depending on risk. This could be via domain classification. Refer to PSPF and Queensland Police where appropriate.</w:t>
            </w:r>
          </w:p>
        </w:tc>
      </w:tr>
      <w:bookmarkEnd w:id="1"/>
    </w:tbl>
    <w:p w:rsidR="009860C3" w:rsidRDefault="009860C3" w:rsidP="009860C3">
      <w:pPr>
        <w:pStyle w:val="BodyText1"/>
        <w:widowControl w:val="0"/>
      </w:pPr>
    </w:p>
    <w:p w:rsidR="009860C3" w:rsidRDefault="009860C3" w:rsidP="009860C3">
      <w:pPr>
        <w:pStyle w:val="Caption"/>
        <w:widowControl w:val="0"/>
      </w:pPr>
      <w:r>
        <w:t>Classification mappings Australian Government classification system mapping to the 2013 Queensland Government classification schema and Simplified Queensland Government classification schema</w:t>
      </w:r>
    </w:p>
    <w:p w:rsidR="00AD3AF5" w:rsidRDefault="00AD3AF5"/>
    <w:sectPr w:rsidR="00AD3AF5" w:rsidSect="009860C3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531EF"/>
    <w:multiLevelType w:val="multilevel"/>
    <w:tmpl w:val="6F4C1682"/>
    <w:lvl w:ilvl="0">
      <w:start w:val="1"/>
      <w:numFmt w:val="upperLetter"/>
      <w:pStyle w:val="Appendix1"/>
      <w:lvlText w:val="Appendix %1"/>
      <w:lvlJc w:val="left"/>
      <w:pPr>
        <w:tabs>
          <w:tab w:val="num" w:pos="3403"/>
        </w:tabs>
        <w:ind w:left="3403" w:hanging="1701"/>
      </w:pPr>
      <w:rPr>
        <w:rFonts w:hint="default"/>
        <w:cap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Appendix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Appendix4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C3"/>
    <w:rsid w:val="00356399"/>
    <w:rsid w:val="009860C3"/>
    <w:rsid w:val="00A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9DB3"/>
  <w15:chartTrackingRefBased/>
  <w15:docId w15:val="{45B597A5-E944-477F-9E8D-21937D6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60C3"/>
    <w:pPr>
      <w:spacing w:before="110" w:after="0" w:line="280" w:lineRule="atLeast"/>
      <w:ind w:left="709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0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 1"/>
    <w:basedOn w:val="Normal"/>
    <w:next w:val="BodyText"/>
    <w:link w:val="Appendix1Char"/>
    <w:rsid w:val="009860C3"/>
    <w:pPr>
      <w:keepNext/>
      <w:pageBreakBefore/>
      <w:numPr>
        <w:numId w:val="1"/>
      </w:numPr>
      <w:shd w:val="clear" w:color="auto" w:fill="FFFFFF"/>
      <w:tabs>
        <w:tab w:val="clear" w:pos="3403"/>
        <w:tab w:val="num" w:pos="360"/>
        <w:tab w:val="num" w:pos="1985"/>
        <w:tab w:val="left" w:pos="2268"/>
      </w:tabs>
      <w:spacing w:before="400" w:after="140" w:line="240" w:lineRule="auto"/>
      <w:ind w:left="2268" w:hanging="2268"/>
      <w:outlineLvl w:val="0"/>
    </w:pPr>
    <w:rPr>
      <w:rFonts w:cs="Arial"/>
      <w:b/>
      <w:bCs/>
      <w:color w:val="336699"/>
      <w:sz w:val="36"/>
      <w:szCs w:val="28"/>
      <w:lang w:eastAsia="en-AU"/>
    </w:rPr>
  </w:style>
  <w:style w:type="paragraph" w:customStyle="1" w:styleId="Appendix2">
    <w:name w:val="Appendix 2"/>
    <w:basedOn w:val="Heading2"/>
    <w:next w:val="BodyText"/>
    <w:rsid w:val="009860C3"/>
    <w:pPr>
      <w:keepLines w:val="0"/>
      <w:numPr>
        <w:ilvl w:val="1"/>
        <w:numId w:val="1"/>
      </w:numPr>
      <w:tabs>
        <w:tab w:val="clear" w:pos="709"/>
        <w:tab w:val="num" w:pos="360"/>
      </w:tabs>
      <w:spacing w:before="320" w:after="100" w:line="240" w:lineRule="auto"/>
      <w:ind w:firstLine="0"/>
    </w:pPr>
    <w:rPr>
      <w:rFonts w:ascii="Arial" w:eastAsia="Times New Roman" w:hAnsi="Arial" w:cs="Arial"/>
      <w:b/>
      <w:color w:val="5F5F5F"/>
      <w:sz w:val="28"/>
      <w:szCs w:val="20"/>
      <w:lang w:eastAsia="en-AU"/>
    </w:rPr>
  </w:style>
  <w:style w:type="paragraph" w:customStyle="1" w:styleId="Appendix3">
    <w:name w:val="Appendix 3"/>
    <w:basedOn w:val="Heading3"/>
    <w:next w:val="BodyText"/>
    <w:rsid w:val="009860C3"/>
    <w:pPr>
      <w:widowControl w:val="0"/>
      <w:numPr>
        <w:ilvl w:val="2"/>
        <w:numId w:val="1"/>
      </w:numPr>
      <w:tabs>
        <w:tab w:val="num" w:pos="360"/>
        <w:tab w:val="left" w:pos="567"/>
        <w:tab w:val="num" w:pos="1277"/>
      </w:tabs>
      <w:spacing w:before="280" w:after="80" w:line="240" w:lineRule="auto"/>
    </w:pPr>
    <w:rPr>
      <w:rFonts w:ascii="Arial" w:eastAsia="Times New Roman" w:hAnsi="Arial" w:cs="Arial"/>
      <w:b/>
      <w:color w:val="auto"/>
      <w:kern w:val="24"/>
      <w:sz w:val="22"/>
      <w:lang w:eastAsia="en-AU"/>
    </w:rPr>
  </w:style>
  <w:style w:type="paragraph" w:customStyle="1" w:styleId="Appendix4">
    <w:name w:val="Appendix 4"/>
    <w:basedOn w:val="Appendix3"/>
    <w:next w:val="BodyText"/>
    <w:semiHidden/>
    <w:rsid w:val="009860C3"/>
    <w:pPr>
      <w:numPr>
        <w:ilvl w:val="3"/>
      </w:numPr>
      <w:tabs>
        <w:tab w:val="clear" w:pos="709"/>
        <w:tab w:val="num" w:pos="360"/>
      </w:tabs>
    </w:pPr>
    <w:rPr>
      <w:b w:val="0"/>
      <w:i/>
      <w:lang w:val="en-US"/>
    </w:rPr>
  </w:style>
  <w:style w:type="paragraph" w:styleId="Caption">
    <w:name w:val="caption"/>
    <w:aliases w:val="Caption Char1,Caption Char Char"/>
    <w:basedOn w:val="BodyText"/>
    <w:next w:val="BodyText"/>
    <w:link w:val="CaptionChar"/>
    <w:autoRedefine/>
    <w:qFormat/>
    <w:rsid w:val="009860C3"/>
    <w:pPr>
      <w:spacing w:before="220" w:after="330" w:line="260" w:lineRule="atLeast"/>
      <w:ind w:left="0"/>
      <w:jc w:val="center"/>
    </w:pPr>
    <w:rPr>
      <w:bCs/>
      <w:sz w:val="18"/>
      <w:lang w:eastAsia="en-AU"/>
    </w:rPr>
  </w:style>
  <w:style w:type="paragraph" w:customStyle="1" w:styleId="BodyText1">
    <w:name w:val="Body Text1"/>
    <w:basedOn w:val="BodyText"/>
    <w:link w:val="BodytextChar"/>
    <w:qFormat/>
    <w:rsid w:val="009860C3"/>
    <w:pPr>
      <w:spacing w:after="0"/>
      <w:ind w:left="567"/>
    </w:pPr>
    <w:rPr>
      <w:lang w:eastAsia="en-AU"/>
    </w:rPr>
  </w:style>
  <w:style w:type="character" w:customStyle="1" w:styleId="Appendix1Char">
    <w:name w:val="Appendix 1 Char"/>
    <w:basedOn w:val="DefaultParagraphFont"/>
    <w:link w:val="Appendix1"/>
    <w:rsid w:val="009860C3"/>
    <w:rPr>
      <w:rFonts w:ascii="Arial" w:eastAsia="Times New Roman" w:hAnsi="Arial" w:cs="Arial"/>
      <w:b/>
      <w:bCs/>
      <w:color w:val="336699"/>
      <w:sz w:val="36"/>
      <w:szCs w:val="28"/>
      <w:shd w:val="clear" w:color="auto" w:fill="FFFFFF"/>
      <w:lang w:eastAsia="en-AU"/>
    </w:rPr>
  </w:style>
  <w:style w:type="character" w:customStyle="1" w:styleId="BodytextChar">
    <w:name w:val="Body text Char"/>
    <w:basedOn w:val="BodyTextChar0"/>
    <w:link w:val="BodyText1"/>
    <w:rsid w:val="009860C3"/>
    <w:rPr>
      <w:rFonts w:ascii="Arial" w:eastAsia="Times New Roman" w:hAnsi="Arial" w:cs="Times New Roman"/>
      <w:szCs w:val="20"/>
      <w:lang w:eastAsia="en-AU"/>
    </w:rPr>
  </w:style>
  <w:style w:type="character" w:customStyle="1" w:styleId="CaptionChar">
    <w:name w:val="Caption Char"/>
    <w:aliases w:val="Caption Char1 Char,Caption Char Char Char"/>
    <w:link w:val="Caption"/>
    <w:rsid w:val="009860C3"/>
    <w:rPr>
      <w:rFonts w:ascii="Arial" w:eastAsia="Times New Roman" w:hAnsi="Arial" w:cs="Times New Roman"/>
      <w:bCs/>
      <w:sz w:val="18"/>
      <w:szCs w:val="20"/>
      <w:lang w:eastAsia="en-AU"/>
    </w:rPr>
  </w:style>
  <w:style w:type="paragraph" w:styleId="BodyText">
    <w:name w:val="Body Text"/>
    <w:basedOn w:val="Normal"/>
    <w:link w:val="BodyTextChar0"/>
    <w:uiPriority w:val="99"/>
    <w:semiHidden/>
    <w:unhideWhenUsed/>
    <w:rsid w:val="009860C3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9860C3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miers.qld.gov.au/publications/categories/policies-and-codes/handbooks/cabinet-handbook.aspx" TargetMode="External"/><Relationship Id="rId5" Type="http://schemas.openxmlformats.org/officeDocument/2006/relationships/hyperlink" Target="https://creativecommons.org/share-your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E	Mapping between old and new confidentiality classifications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Irwin</dc:creator>
  <cp:keywords/>
  <dc:description/>
  <cp:lastModifiedBy>Lisa Irwin</cp:lastModifiedBy>
  <cp:revision>1</cp:revision>
  <dcterms:created xsi:type="dcterms:W3CDTF">2018-09-24T04:11:00Z</dcterms:created>
  <dcterms:modified xsi:type="dcterms:W3CDTF">2018-09-24T04:14:00Z</dcterms:modified>
</cp:coreProperties>
</file>