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39417" w14:textId="129A3E81" w:rsidR="00384FEB" w:rsidRPr="006B4F6A" w:rsidRDefault="00384FEB" w:rsidP="00384FEB">
      <w:pPr>
        <w:pStyle w:val="QGEA"/>
      </w:pPr>
      <w:r w:rsidRPr="006B4F6A">
        <w:t>Queensland Government Enterprise Architecture</w:t>
      </w:r>
    </w:p>
    <w:p w14:paraId="1A2523FA" w14:textId="32041671" w:rsidR="00384FEB" w:rsidRDefault="00E0213E" w:rsidP="00384FEB">
      <w:pPr>
        <w:pStyle w:val="Titlepageheading"/>
        <w:pBdr>
          <w:bottom w:val="none" w:sz="0" w:space="0" w:color="auto"/>
        </w:pBdr>
        <w:spacing w:before="240"/>
      </w:pPr>
      <w:r>
        <w:t>Collaborative w</w:t>
      </w:r>
      <w:r w:rsidR="00B133C5">
        <w:t xml:space="preserve">orkspace </w:t>
      </w:r>
    </w:p>
    <w:p w14:paraId="1DE1FDB2" w14:textId="77777777" w:rsidR="00A049F6" w:rsidRPr="00384FEB" w:rsidRDefault="00B133C5" w:rsidP="00766CCB">
      <w:pPr>
        <w:rPr>
          <w:sz w:val="30"/>
          <w:szCs w:val="30"/>
        </w:rPr>
      </w:pPr>
      <w:r>
        <w:rPr>
          <w:rFonts w:cs="Arial"/>
          <w:color w:val="4D4D4D"/>
          <w:sz w:val="30"/>
          <w:szCs w:val="30"/>
        </w:rPr>
        <w:t>W</w:t>
      </w:r>
      <w:r w:rsidRPr="00B133C5">
        <w:rPr>
          <w:rFonts w:cs="Arial"/>
          <w:color w:val="4D4D4D"/>
          <w:sz w:val="30"/>
          <w:szCs w:val="30"/>
        </w:rPr>
        <w:t xml:space="preserve">ired and wireless </w:t>
      </w:r>
      <w:r w:rsidR="00596796">
        <w:rPr>
          <w:rFonts w:cs="Arial"/>
          <w:color w:val="4D4D4D"/>
          <w:sz w:val="30"/>
          <w:szCs w:val="30"/>
        </w:rPr>
        <w:t xml:space="preserve">network </w:t>
      </w:r>
      <w:r>
        <w:rPr>
          <w:rFonts w:cs="Arial"/>
          <w:color w:val="4D4D4D"/>
          <w:sz w:val="30"/>
          <w:szCs w:val="30"/>
        </w:rPr>
        <w:t>a</w:t>
      </w:r>
      <w:r w:rsidRPr="00B133C5">
        <w:rPr>
          <w:rFonts w:cs="Arial"/>
          <w:color w:val="4D4D4D"/>
          <w:sz w:val="30"/>
          <w:szCs w:val="30"/>
        </w:rPr>
        <w:t xml:space="preserve">ccess </w:t>
      </w:r>
      <w:r w:rsidR="00596796">
        <w:rPr>
          <w:rFonts w:cs="Arial"/>
          <w:color w:val="4D4D4D"/>
          <w:sz w:val="30"/>
          <w:szCs w:val="30"/>
        </w:rPr>
        <w:t xml:space="preserve">control </w:t>
      </w:r>
      <w:r>
        <w:rPr>
          <w:rFonts w:cs="Arial"/>
          <w:color w:val="4D4D4D"/>
          <w:sz w:val="30"/>
          <w:szCs w:val="30"/>
        </w:rPr>
        <w:t>guideline</w:t>
      </w:r>
    </w:p>
    <w:p w14:paraId="01CE6145" w14:textId="77777777" w:rsidR="005E7B99" w:rsidRPr="00384FEB" w:rsidRDefault="005E7B99" w:rsidP="006517B2">
      <w:pPr>
        <w:spacing w:before="360" w:after="240" w:line="264" w:lineRule="auto"/>
        <w:rPr>
          <w:rFonts w:cs="Arial"/>
          <w:color w:val="4D4D4D"/>
          <w:sz w:val="30"/>
          <w:szCs w:val="30"/>
        </w:rPr>
      </w:pPr>
    </w:p>
    <w:p w14:paraId="6576521B" w14:textId="77777777" w:rsidR="005E7B99" w:rsidRDefault="005E7B99" w:rsidP="006517B2">
      <w:pPr>
        <w:spacing w:before="360" w:after="240" w:line="264" w:lineRule="auto"/>
        <w:rPr>
          <w:rFonts w:cs="Arial"/>
          <w:color w:val="4D4D4D"/>
          <w:sz w:val="30"/>
          <w:szCs w:val="30"/>
        </w:rPr>
      </w:pPr>
    </w:p>
    <w:p w14:paraId="0738BEF0" w14:textId="77777777" w:rsidR="00384FEB" w:rsidRDefault="00384FEB" w:rsidP="006517B2">
      <w:pPr>
        <w:spacing w:before="360" w:after="240" w:line="264" w:lineRule="auto"/>
        <w:rPr>
          <w:rFonts w:cs="Arial"/>
          <w:color w:val="4D4D4D"/>
          <w:sz w:val="30"/>
          <w:szCs w:val="30"/>
        </w:rPr>
      </w:pPr>
    </w:p>
    <w:p w14:paraId="2701C199" w14:textId="77777777" w:rsidR="00384FEB" w:rsidRDefault="00384FEB" w:rsidP="006517B2">
      <w:pPr>
        <w:spacing w:before="360" w:after="240" w:line="264" w:lineRule="auto"/>
        <w:rPr>
          <w:rFonts w:cs="Arial"/>
          <w:color w:val="4D4D4D"/>
          <w:sz w:val="30"/>
          <w:szCs w:val="30"/>
        </w:rPr>
      </w:pPr>
    </w:p>
    <w:p w14:paraId="096CDE35" w14:textId="01706F43" w:rsidR="00384FEB" w:rsidRDefault="00DB239D" w:rsidP="00384FEB">
      <w:pPr>
        <w:pStyle w:val="TitlePageOptionalTextLine"/>
        <w:spacing w:before="180" w:after="60" w:line="264" w:lineRule="auto"/>
        <w:rPr>
          <w:color w:val="595959"/>
        </w:rPr>
      </w:pPr>
      <w:r>
        <w:rPr>
          <w:color w:val="336699"/>
        </w:rPr>
        <w:t>Final</w:t>
      </w:r>
    </w:p>
    <w:p w14:paraId="30953FA4" w14:textId="45F57352" w:rsidR="003E716D" w:rsidRPr="00384FEB" w:rsidRDefault="00DB239D" w:rsidP="00384FEB">
      <w:pPr>
        <w:spacing w:before="180" w:after="60" w:line="264" w:lineRule="auto"/>
        <w:rPr>
          <w:color w:val="336699"/>
          <w:sz w:val="30"/>
          <w:szCs w:val="24"/>
        </w:rPr>
      </w:pPr>
      <w:r>
        <w:rPr>
          <w:color w:val="336699"/>
          <w:sz w:val="30"/>
          <w:szCs w:val="24"/>
        </w:rPr>
        <w:t>December</w:t>
      </w:r>
      <w:r w:rsidR="00CF41CD">
        <w:rPr>
          <w:color w:val="336699"/>
          <w:sz w:val="30"/>
          <w:szCs w:val="24"/>
        </w:rPr>
        <w:t xml:space="preserve"> 2017</w:t>
      </w:r>
    </w:p>
    <w:p w14:paraId="68B74CBE" w14:textId="33CBC8B2" w:rsidR="00A049F6" w:rsidRPr="00384FEB" w:rsidRDefault="00DB239D" w:rsidP="00384FEB">
      <w:pPr>
        <w:spacing w:before="180" w:after="60" w:line="264" w:lineRule="auto"/>
        <w:rPr>
          <w:color w:val="336699"/>
          <w:sz w:val="30"/>
          <w:szCs w:val="24"/>
        </w:rPr>
      </w:pPr>
      <w:r>
        <w:rPr>
          <w:color w:val="336699"/>
          <w:sz w:val="30"/>
          <w:szCs w:val="24"/>
        </w:rPr>
        <w:t>V1.0.0</w:t>
      </w:r>
    </w:p>
    <w:p w14:paraId="5B0810E1" w14:textId="77777777" w:rsidR="00EF2086" w:rsidRPr="009142A2" w:rsidRDefault="00EF2086" w:rsidP="006517B2">
      <w:pPr>
        <w:spacing w:before="360" w:after="240" w:line="264" w:lineRule="auto"/>
      </w:pPr>
    </w:p>
    <w:p w14:paraId="5F7C6B3E" w14:textId="7DC06564" w:rsidR="00EF2086" w:rsidRPr="00384FEB" w:rsidRDefault="00DB239D" w:rsidP="00384FEB">
      <w:pPr>
        <w:spacing w:before="180" w:after="60" w:line="264" w:lineRule="auto"/>
        <w:rPr>
          <w:color w:val="336699"/>
          <w:sz w:val="30"/>
          <w:szCs w:val="24"/>
        </w:rPr>
      </w:pPr>
      <w:r>
        <w:rPr>
          <w:color w:val="336699"/>
          <w:sz w:val="30"/>
          <w:szCs w:val="24"/>
        </w:rPr>
        <w:t>PUBLIC</w:t>
      </w:r>
    </w:p>
    <w:p w14:paraId="432B0BC1" w14:textId="77777777" w:rsidR="00506597" w:rsidRDefault="00506597" w:rsidP="00766CCB">
      <w:r>
        <w:br w:type="page"/>
      </w:r>
    </w:p>
    <w:p w14:paraId="656EC9F8" w14:textId="77777777" w:rsidR="00C40C29" w:rsidRPr="00831408" w:rsidRDefault="00C40C29" w:rsidP="002820D9">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14:paraId="7D4AB1F3"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66472DA5" w14:textId="77777777" w:rsidR="006334ED" w:rsidRPr="00BE083C" w:rsidRDefault="006334ED" w:rsidP="006517B2">
            <w:pPr>
              <w:pStyle w:val="TableText"/>
              <w:rPr>
                <w:b/>
              </w:rPr>
            </w:pPr>
            <w:r w:rsidRPr="00BE083C">
              <w:rPr>
                <w:b/>
              </w:rPr>
              <w:t>Security classification</w:t>
            </w:r>
          </w:p>
        </w:tc>
        <w:tc>
          <w:tcPr>
            <w:tcW w:w="7061" w:type="dxa"/>
            <w:gridSpan w:val="6"/>
          </w:tcPr>
          <w:p w14:paraId="53AF0B20" w14:textId="13DA7852" w:rsidR="006334ED" w:rsidRPr="006D5D95" w:rsidRDefault="00DB239D"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14:paraId="0CE28E2B"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3599A3A0" w14:textId="77777777" w:rsidR="006334ED" w:rsidRPr="00BE083C" w:rsidRDefault="006334ED" w:rsidP="006517B2">
            <w:pPr>
              <w:pStyle w:val="TableText"/>
              <w:rPr>
                <w:b/>
              </w:rPr>
            </w:pPr>
            <w:r w:rsidRPr="00BE083C">
              <w:rPr>
                <w:b/>
              </w:rPr>
              <w:t>Date of review of security classification</w:t>
            </w:r>
          </w:p>
        </w:tc>
        <w:tc>
          <w:tcPr>
            <w:tcW w:w="7061" w:type="dxa"/>
            <w:gridSpan w:val="6"/>
          </w:tcPr>
          <w:p w14:paraId="6226FDC6" w14:textId="77777777" w:rsidR="006334ED" w:rsidRPr="000D5487" w:rsidRDefault="007A69EF"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14:paraId="6B699268"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6A74B70C" w14:textId="77777777" w:rsidR="006334ED" w:rsidRPr="00BE083C" w:rsidRDefault="006334ED" w:rsidP="006517B2">
            <w:pPr>
              <w:pStyle w:val="TableText"/>
              <w:rPr>
                <w:b/>
              </w:rPr>
            </w:pPr>
            <w:r w:rsidRPr="00BE083C">
              <w:rPr>
                <w:b/>
              </w:rPr>
              <w:t>Authority</w:t>
            </w:r>
          </w:p>
        </w:tc>
        <w:tc>
          <w:tcPr>
            <w:tcW w:w="7061" w:type="dxa"/>
            <w:gridSpan w:val="6"/>
          </w:tcPr>
          <w:p w14:paraId="1A9F46BD" w14:textId="77777777"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14:paraId="634529F1"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4C228023" w14:textId="77777777" w:rsidR="006334ED" w:rsidRPr="00BE083C" w:rsidRDefault="006334ED" w:rsidP="006517B2">
            <w:pPr>
              <w:pStyle w:val="TableText"/>
              <w:rPr>
                <w:b/>
              </w:rPr>
            </w:pPr>
            <w:r w:rsidRPr="00BE083C">
              <w:rPr>
                <w:b/>
              </w:rPr>
              <w:t>Author</w:t>
            </w:r>
          </w:p>
        </w:tc>
        <w:tc>
          <w:tcPr>
            <w:tcW w:w="7061" w:type="dxa"/>
            <w:gridSpan w:val="6"/>
          </w:tcPr>
          <w:p w14:paraId="629AAF55" w14:textId="77777777" w:rsidR="006334ED" w:rsidRPr="006D5D95" w:rsidRDefault="00D435D8" w:rsidP="006517B2">
            <w:pPr>
              <w:pStyle w:val="TableText"/>
              <w:cnfStyle w:val="000000000000" w:firstRow="0" w:lastRow="0" w:firstColumn="0" w:lastColumn="0" w:oddVBand="0" w:evenVBand="0" w:oddHBand="0" w:evenHBand="0" w:firstRowFirstColumn="0" w:firstRowLastColumn="0" w:lastRowFirstColumn="0" w:lastRowLastColumn="0"/>
            </w:pPr>
            <w:r>
              <w:t>Strategic Transformation</w:t>
            </w:r>
          </w:p>
        </w:tc>
      </w:tr>
      <w:tr w:rsidR="00CF41CD" w:rsidRPr="00EE390B" w14:paraId="49CBF289" w14:textId="77777777"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6F66E920" w14:textId="77777777" w:rsidR="006334ED" w:rsidRPr="00BE083C" w:rsidRDefault="006334ED" w:rsidP="006517B2">
            <w:pPr>
              <w:pStyle w:val="TableText"/>
              <w:rPr>
                <w:b/>
              </w:rPr>
            </w:pPr>
            <w:r w:rsidRPr="00BE083C">
              <w:rPr>
                <w:b/>
              </w:rPr>
              <w:t>Documentation status</w:t>
            </w:r>
          </w:p>
        </w:tc>
        <w:tc>
          <w:tcPr>
            <w:tcW w:w="452" w:type="dxa"/>
          </w:tcPr>
          <w:p w14:paraId="5A0A6403" w14:textId="3ECA0EAB"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Pr>
          <w:p w14:paraId="5BABBCCD" w14:textId="77777777"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Pr>
          <w:p w14:paraId="6676EC06" w14:textId="77777777"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Pr>
          <w:p w14:paraId="7B497D10" w14:textId="77777777"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Pr>
          <w:p w14:paraId="4D4FDBAD" w14:textId="68A19581" w:rsidR="006334ED" w:rsidRPr="00EE390B" w:rsidRDefault="00DB239D"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Pr>
          <w:p w14:paraId="0BAB6846" w14:textId="77777777"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14:paraId="302458F2" w14:textId="77777777" w:rsidR="00C40C29" w:rsidRPr="00831408" w:rsidRDefault="00C40C29" w:rsidP="002820D9">
      <w:pPr>
        <w:pStyle w:val="Heading2nonumber"/>
      </w:pPr>
      <w:r w:rsidRPr="00831408">
        <w:t>Contact for enquiries and proposed changes</w:t>
      </w:r>
    </w:p>
    <w:p w14:paraId="7D751A52" w14:textId="77777777" w:rsidR="00C40C29" w:rsidRPr="00C40C29" w:rsidRDefault="00C40C29" w:rsidP="006517B2">
      <w:pPr>
        <w:pStyle w:val="Bodystylefordocumentdetails"/>
      </w:pPr>
      <w:r w:rsidRPr="00C40C29">
        <w:t>All enquiries regarding this document should be directed in the first instance to:</w:t>
      </w:r>
    </w:p>
    <w:p w14:paraId="107FB6E6" w14:textId="09E198B2" w:rsidR="007861C3" w:rsidRDefault="00D435D8" w:rsidP="006517B2">
      <w:pPr>
        <w:pStyle w:val="Bodystylefordocumentdetails"/>
      </w:pPr>
      <w:r w:rsidRPr="00D435D8">
        <w:t>QGCIO</w:t>
      </w:r>
      <w:r w:rsidR="007861C3" w:rsidRPr="008B293E">
        <w:rPr>
          <w:highlight w:val="yellow"/>
        </w:rPr>
        <w:br/>
      </w:r>
      <w:hyperlink r:id="rId8" w:history="1">
        <w:r w:rsidR="00DB239D" w:rsidRPr="00181D9D">
          <w:rPr>
            <w:rStyle w:val="Hyperlink"/>
          </w:rPr>
          <w:t>rod.muller@qgcio.qld.gov.au</w:t>
        </w:r>
      </w:hyperlink>
      <w:r w:rsidR="00DB239D">
        <w:t xml:space="preserve"> </w:t>
      </w:r>
    </w:p>
    <w:p w14:paraId="0E9859D1" w14:textId="77777777" w:rsidR="00BB2720" w:rsidRPr="00831408" w:rsidRDefault="00BB2720" w:rsidP="002820D9">
      <w:pPr>
        <w:pStyle w:val="Heading2nonumber"/>
      </w:pPr>
      <w:r w:rsidRPr="00831408">
        <w:t>Acknowledgements</w:t>
      </w:r>
    </w:p>
    <w:p w14:paraId="05BA6C9D" w14:textId="77777777" w:rsidR="00BB2720" w:rsidRPr="00C40C29" w:rsidRDefault="00BB2720" w:rsidP="006517B2">
      <w:pPr>
        <w:pStyle w:val="Bodystylefordocumentdetails"/>
      </w:pPr>
      <w:r w:rsidRPr="00C40C29">
        <w:t xml:space="preserve">This version of the </w:t>
      </w:r>
      <w:r w:rsidR="00D435D8">
        <w:rPr>
          <w:i/>
        </w:rPr>
        <w:t xml:space="preserve">Wired and wireless network access control </w:t>
      </w:r>
      <w:r w:rsidR="007A69EF">
        <w:rPr>
          <w:i/>
        </w:rPr>
        <w:t>guideline</w:t>
      </w:r>
      <w:r w:rsidR="00754C94">
        <w:rPr>
          <w:i/>
        </w:rPr>
        <w:t xml:space="preserve"> </w:t>
      </w:r>
      <w:r w:rsidRPr="00C40C29">
        <w:t xml:space="preserve">was developed and updated by </w:t>
      </w:r>
      <w:r w:rsidR="00D435D8">
        <w:t>QGCIO, Strategic Transformation.</w:t>
      </w:r>
    </w:p>
    <w:p w14:paraId="5BE573AA" w14:textId="77777777"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14:paraId="0C93162E" w14:textId="77777777" w:rsidR="00C40C29" w:rsidRPr="00831408" w:rsidRDefault="00C40C29" w:rsidP="002820D9">
      <w:pPr>
        <w:pStyle w:val="Heading2nonumber"/>
      </w:pPr>
      <w:r w:rsidRPr="00831408">
        <w:t>Copyright</w:t>
      </w:r>
    </w:p>
    <w:p w14:paraId="01C698E3" w14:textId="77777777" w:rsidR="00C40C29" w:rsidRPr="00FB5186" w:rsidRDefault="00D435D8" w:rsidP="006517B2">
      <w:pPr>
        <w:pStyle w:val="Bodystylefordocumentdetails"/>
      </w:pPr>
      <w:r w:rsidRPr="00D435D8">
        <w:t>Wired and wireless network access control guideline</w:t>
      </w:r>
      <w:r>
        <w:t xml:space="preserve">, </w:t>
      </w:r>
      <w:r w:rsidR="00C40C29" w:rsidRPr="00FB5186">
        <w:t>Copyright © The State of Queensland (</w:t>
      </w:r>
      <w:r w:rsidR="006C7E44">
        <w:t>Queensland Government Chief Information Office</w:t>
      </w:r>
      <w:r w:rsidR="00C40C29" w:rsidRPr="00FB5186">
        <w:t>)</w:t>
      </w:r>
      <w:r w:rsidR="00013A6E">
        <w:t xml:space="preserve"> </w:t>
      </w:r>
      <w:r w:rsidR="00FC066D">
        <w:t>20</w:t>
      </w:r>
      <w:r w:rsidR="00754C94">
        <w:t>1</w:t>
      </w:r>
      <w:r w:rsidR="006C7E44">
        <w:t>7</w:t>
      </w:r>
    </w:p>
    <w:p w14:paraId="3AE3FC74" w14:textId="77777777" w:rsidR="007A3856" w:rsidRPr="00831408" w:rsidRDefault="007A3856" w:rsidP="002820D9">
      <w:pPr>
        <w:pStyle w:val="Heading2nonumber"/>
      </w:pPr>
      <w:r w:rsidRPr="00831408">
        <w:t>Licence</w:t>
      </w:r>
    </w:p>
    <w:p w14:paraId="47085604" w14:textId="6331CBE4" w:rsidR="00DB239D" w:rsidRDefault="00DB239D" w:rsidP="00DB239D">
      <w:pPr>
        <w:pStyle w:val="Bodystylefordocumentdetails"/>
      </w:pPr>
      <w:r>
        <w:rPr>
          <w:noProof/>
        </w:rPr>
        <w:drawing>
          <wp:inline distT="0" distB="0" distL="0" distR="0" wp14:anchorId="6B12B075" wp14:editId="1F7EEC09">
            <wp:extent cx="866775" cy="304800"/>
            <wp:effectExtent l="0" t="0" r="9525" b="0"/>
            <wp:docPr id="2" name="Picture 2"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14:paraId="25D8A54E" w14:textId="77777777" w:rsidR="00DB239D" w:rsidRPr="001328B5" w:rsidRDefault="00DB239D" w:rsidP="00DB239D">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14:paraId="034A709D" w14:textId="77777777" w:rsidR="00DB239D" w:rsidRDefault="00DB239D" w:rsidP="00DB239D">
      <w:pPr>
        <w:pStyle w:val="BodyText"/>
        <w:ind w:left="0"/>
        <w:rPr>
          <w:szCs w:val="22"/>
        </w:rPr>
      </w:pPr>
      <w:r w:rsidRPr="00750438">
        <w:rPr>
          <w:szCs w:val="22"/>
        </w:rPr>
        <w:t xml:space="preserve">To attribute this material, cite the Queensland Government Chief Information Office. </w:t>
      </w:r>
    </w:p>
    <w:p w14:paraId="59CEF141" w14:textId="77777777" w:rsidR="00DB239D" w:rsidRDefault="00DB239D" w:rsidP="00DB239D">
      <w:pPr>
        <w:pStyle w:val="BodyText"/>
        <w:ind w:left="0"/>
        <w:rPr>
          <w:szCs w:val="22"/>
        </w:rPr>
      </w:pPr>
      <w:r w:rsidRPr="00DB5123">
        <w:rPr>
          <w:szCs w:val="22"/>
        </w:rPr>
        <w:t>The licence does not apply to any branding or images</w:t>
      </w:r>
      <w:r>
        <w:rPr>
          <w:szCs w:val="22"/>
        </w:rPr>
        <w:t xml:space="preserve">. </w:t>
      </w:r>
    </w:p>
    <w:p w14:paraId="04AF08D8" w14:textId="77777777" w:rsidR="00527E24" w:rsidRPr="00831408" w:rsidRDefault="00527E24" w:rsidP="002820D9">
      <w:pPr>
        <w:pStyle w:val="Heading2nonumber"/>
      </w:pPr>
      <w:r w:rsidRPr="00831408">
        <w:t>Information security</w:t>
      </w:r>
    </w:p>
    <w:p w14:paraId="49F2FD77" w14:textId="30CBB53B"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DB239D">
        <w:t>PUBLIC</w:t>
      </w:r>
      <w:r w:rsidRPr="00C40C29">
        <w:t xml:space="preserve"> and will be managed according to the requirements of the QGISCF.</w:t>
      </w:r>
    </w:p>
    <w:p w14:paraId="09F2A483" w14:textId="77777777"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14:paraId="2A6B11D9" w14:textId="2D1B435F" w:rsidR="00DA7412"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18916412" w:history="1">
        <w:r w:rsidR="00DA7412" w:rsidRPr="00EB07C7">
          <w:rPr>
            <w:rStyle w:val="Hyperlink"/>
          </w:rPr>
          <w:t>1</w:t>
        </w:r>
        <w:r w:rsidR="00DA7412">
          <w:rPr>
            <w:rFonts w:asciiTheme="minorHAnsi" w:eastAsiaTheme="minorEastAsia" w:hAnsiTheme="minorHAnsi" w:cstheme="minorBidi"/>
            <w:b w:val="0"/>
            <w:snapToGrid/>
            <w:kern w:val="0"/>
            <w:szCs w:val="22"/>
          </w:rPr>
          <w:tab/>
        </w:r>
        <w:r w:rsidR="00DA7412" w:rsidRPr="00EB07C7">
          <w:rPr>
            <w:rStyle w:val="Hyperlink"/>
          </w:rPr>
          <w:t>Introduction</w:t>
        </w:r>
        <w:r w:rsidR="00DA7412">
          <w:rPr>
            <w:webHidden/>
          </w:rPr>
          <w:tab/>
        </w:r>
        <w:r w:rsidR="00DA7412">
          <w:rPr>
            <w:webHidden/>
          </w:rPr>
          <w:fldChar w:fldCharType="begin"/>
        </w:r>
        <w:r w:rsidR="00DA7412">
          <w:rPr>
            <w:webHidden/>
          </w:rPr>
          <w:instrText xml:space="preserve"> PAGEREF _Toc18916412 \h </w:instrText>
        </w:r>
        <w:r w:rsidR="00DA7412">
          <w:rPr>
            <w:webHidden/>
          </w:rPr>
        </w:r>
        <w:r w:rsidR="00DA7412">
          <w:rPr>
            <w:webHidden/>
          </w:rPr>
          <w:fldChar w:fldCharType="separate"/>
        </w:r>
        <w:r w:rsidR="00DA7412">
          <w:rPr>
            <w:webHidden/>
          </w:rPr>
          <w:t>4</w:t>
        </w:r>
        <w:r w:rsidR="00DA7412">
          <w:rPr>
            <w:webHidden/>
          </w:rPr>
          <w:fldChar w:fldCharType="end"/>
        </w:r>
      </w:hyperlink>
    </w:p>
    <w:p w14:paraId="68987A5C" w14:textId="13F66D11" w:rsidR="00DA7412" w:rsidRDefault="00DA7412">
      <w:pPr>
        <w:pStyle w:val="TOC2"/>
        <w:rPr>
          <w:rFonts w:asciiTheme="minorHAnsi" w:eastAsiaTheme="minorEastAsia" w:hAnsiTheme="minorHAnsi" w:cstheme="minorBidi"/>
          <w:snapToGrid/>
          <w:kern w:val="0"/>
          <w:szCs w:val="22"/>
          <w:lang w:eastAsia="en-AU"/>
        </w:rPr>
      </w:pPr>
      <w:hyperlink w:anchor="_Toc18916413" w:history="1">
        <w:r w:rsidRPr="00EB07C7">
          <w:rPr>
            <w:rStyle w:val="Hyperlink"/>
          </w:rPr>
          <w:t>1.1</w:t>
        </w:r>
        <w:r>
          <w:rPr>
            <w:rFonts w:asciiTheme="minorHAnsi" w:eastAsiaTheme="minorEastAsia" w:hAnsiTheme="minorHAnsi" w:cstheme="minorBidi"/>
            <w:snapToGrid/>
            <w:kern w:val="0"/>
            <w:szCs w:val="22"/>
            <w:lang w:eastAsia="en-AU"/>
          </w:rPr>
          <w:tab/>
        </w:r>
        <w:r w:rsidRPr="00EB07C7">
          <w:rPr>
            <w:rStyle w:val="Hyperlink"/>
          </w:rPr>
          <w:t>Purpose</w:t>
        </w:r>
        <w:r>
          <w:rPr>
            <w:webHidden/>
          </w:rPr>
          <w:tab/>
        </w:r>
        <w:r>
          <w:rPr>
            <w:webHidden/>
          </w:rPr>
          <w:fldChar w:fldCharType="begin"/>
        </w:r>
        <w:r>
          <w:rPr>
            <w:webHidden/>
          </w:rPr>
          <w:instrText xml:space="preserve"> PAGEREF _Toc18916413 \h </w:instrText>
        </w:r>
        <w:r>
          <w:rPr>
            <w:webHidden/>
          </w:rPr>
        </w:r>
        <w:r>
          <w:rPr>
            <w:webHidden/>
          </w:rPr>
          <w:fldChar w:fldCharType="separate"/>
        </w:r>
        <w:r>
          <w:rPr>
            <w:webHidden/>
          </w:rPr>
          <w:t>4</w:t>
        </w:r>
        <w:r>
          <w:rPr>
            <w:webHidden/>
          </w:rPr>
          <w:fldChar w:fldCharType="end"/>
        </w:r>
      </w:hyperlink>
    </w:p>
    <w:p w14:paraId="3C9B1508" w14:textId="1D655882" w:rsidR="00DA7412" w:rsidRDefault="00DA7412">
      <w:pPr>
        <w:pStyle w:val="TOC2"/>
        <w:rPr>
          <w:rFonts w:asciiTheme="minorHAnsi" w:eastAsiaTheme="minorEastAsia" w:hAnsiTheme="minorHAnsi" w:cstheme="minorBidi"/>
          <w:snapToGrid/>
          <w:kern w:val="0"/>
          <w:szCs w:val="22"/>
          <w:lang w:eastAsia="en-AU"/>
        </w:rPr>
      </w:pPr>
      <w:hyperlink w:anchor="_Toc18916414" w:history="1">
        <w:r w:rsidRPr="00EB07C7">
          <w:rPr>
            <w:rStyle w:val="Hyperlink"/>
          </w:rPr>
          <w:t>1.2</w:t>
        </w:r>
        <w:r>
          <w:rPr>
            <w:rFonts w:asciiTheme="minorHAnsi" w:eastAsiaTheme="minorEastAsia" w:hAnsiTheme="minorHAnsi" w:cstheme="minorBidi"/>
            <w:snapToGrid/>
            <w:kern w:val="0"/>
            <w:szCs w:val="22"/>
            <w:lang w:eastAsia="en-AU"/>
          </w:rPr>
          <w:tab/>
        </w:r>
        <w:r w:rsidRPr="00EB07C7">
          <w:rPr>
            <w:rStyle w:val="Hyperlink"/>
          </w:rPr>
          <w:t>Audience</w:t>
        </w:r>
        <w:r>
          <w:rPr>
            <w:webHidden/>
          </w:rPr>
          <w:tab/>
        </w:r>
        <w:r>
          <w:rPr>
            <w:webHidden/>
          </w:rPr>
          <w:fldChar w:fldCharType="begin"/>
        </w:r>
        <w:r>
          <w:rPr>
            <w:webHidden/>
          </w:rPr>
          <w:instrText xml:space="preserve"> PAGEREF _Toc18916414 \h </w:instrText>
        </w:r>
        <w:r>
          <w:rPr>
            <w:webHidden/>
          </w:rPr>
        </w:r>
        <w:r>
          <w:rPr>
            <w:webHidden/>
          </w:rPr>
          <w:fldChar w:fldCharType="separate"/>
        </w:r>
        <w:r>
          <w:rPr>
            <w:webHidden/>
          </w:rPr>
          <w:t>4</w:t>
        </w:r>
        <w:r>
          <w:rPr>
            <w:webHidden/>
          </w:rPr>
          <w:fldChar w:fldCharType="end"/>
        </w:r>
      </w:hyperlink>
    </w:p>
    <w:p w14:paraId="2482A62E" w14:textId="7683A267" w:rsidR="00DA7412" w:rsidRDefault="00DA7412">
      <w:pPr>
        <w:pStyle w:val="TOC2"/>
        <w:rPr>
          <w:rFonts w:asciiTheme="minorHAnsi" w:eastAsiaTheme="minorEastAsia" w:hAnsiTheme="minorHAnsi" w:cstheme="minorBidi"/>
          <w:snapToGrid/>
          <w:kern w:val="0"/>
          <w:szCs w:val="22"/>
          <w:lang w:eastAsia="en-AU"/>
        </w:rPr>
      </w:pPr>
      <w:hyperlink w:anchor="_Toc18916415" w:history="1">
        <w:r w:rsidRPr="00EB07C7">
          <w:rPr>
            <w:rStyle w:val="Hyperlink"/>
          </w:rPr>
          <w:t>1.3</w:t>
        </w:r>
        <w:r>
          <w:rPr>
            <w:rFonts w:asciiTheme="minorHAnsi" w:eastAsiaTheme="minorEastAsia" w:hAnsiTheme="minorHAnsi" w:cstheme="minorBidi"/>
            <w:snapToGrid/>
            <w:kern w:val="0"/>
            <w:szCs w:val="22"/>
            <w:lang w:eastAsia="en-AU"/>
          </w:rPr>
          <w:tab/>
        </w:r>
        <w:r w:rsidRPr="00EB07C7">
          <w:rPr>
            <w:rStyle w:val="Hyperlink"/>
          </w:rPr>
          <w:t>Scope</w:t>
        </w:r>
        <w:r>
          <w:rPr>
            <w:webHidden/>
          </w:rPr>
          <w:tab/>
        </w:r>
        <w:r>
          <w:rPr>
            <w:webHidden/>
          </w:rPr>
          <w:fldChar w:fldCharType="begin"/>
        </w:r>
        <w:r>
          <w:rPr>
            <w:webHidden/>
          </w:rPr>
          <w:instrText xml:space="preserve"> PAGEREF _Toc18916415 \h </w:instrText>
        </w:r>
        <w:r>
          <w:rPr>
            <w:webHidden/>
          </w:rPr>
        </w:r>
        <w:r>
          <w:rPr>
            <w:webHidden/>
          </w:rPr>
          <w:fldChar w:fldCharType="separate"/>
        </w:r>
        <w:r>
          <w:rPr>
            <w:webHidden/>
          </w:rPr>
          <w:t>4</w:t>
        </w:r>
        <w:r>
          <w:rPr>
            <w:webHidden/>
          </w:rPr>
          <w:fldChar w:fldCharType="end"/>
        </w:r>
      </w:hyperlink>
    </w:p>
    <w:p w14:paraId="432DF71F" w14:textId="7DD5EA8E" w:rsidR="00DA7412" w:rsidRDefault="00DA7412">
      <w:pPr>
        <w:pStyle w:val="TOC1"/>
        <w:rPr>
          <w:rFonts w:asciiTheme="minorHAnsi" w:eastAsiaTheme="minorEastAsia" w:hAnsiTheme="minorHAnsi" w:cstheme="minorBidi"/>
          <w:b w:val="0"/>
          <w:snapToGrid/>
          <w:kern w:val="0"/>
          <w:szCs w:val="22"/>
        </w:rPr>
      </w:pPr>
      <w:hyperlink w:anchor="_Toc18916416" w:history="1">
        <w:r w:rsidRPr="00EB07C7">
          <w:rPr>
            <w:rStyle w:val="Hyperlink"/>
          </w:rPr>
          <w:t>2</w:t>
        </w:r>
        <w:r>
          <w:rPr>
            <w:rFonts w:asciiTheme="minorHAnsi" w:eastAsiaTheme="minorEastAsia" w:hAnsiTheme="minorHAnsi" w:cstheme="minorBidi"/>
            <w:b w:val="0"/>
            <w:snapToGrid/>
            <w:kern w:val="0"/>
            <w:szCs w:val="22"/>
          </w:rPr>
          <w:tab/>
        </w:r>
        <w:r w:rsidRPr="00EB07C7">
          <w:rPr>
            <w:rStyle w:val="Hyperlink"/>
          </w:rPr>
          <w:t>Mobility enablement</w:t>
        </w:r>
        <w:r>
          <w:rPr>
            <w:webHidden/>
          </w:rPr>
          <w:tab/>
        </w:r>
        <w:r>
          <w:rPr>
            <w:webHidden/>
          </w:rPr>
          <w:fldChar w:fldCharType="begin"/>
        </w:r>
        <w:r>
          <w:rPr>
            <w:webHidden/>
          </w:rPr>
          <w:instrText xml:space="preserve"> PAGEREF _Toc18916416 \h </w:instrText>
        </w:r>
        <w:r>
          <w:rPr>
            <w:webHidden/>
          </w:rPr>
        </w:r>
        <w:r>
          <w:rPr>
            <w:webHidden/>
          </w:rPr>
          <w:fldChar w:fldCharType="separate"/>
        </w:r>
        <w:r>
          <w:rPr>
            <w:webHidden/>
          </w:rPr>
          <w:t>5</w:t>
        </w:r>
        <w:r>
          <w:rPr>
            <w:webHidden/>
          </w:rPr>
          <w:fldChar w:fldCharType="end"/>
        </w:r>
      </w:hyperlink>
    </w:p>
    <w:p w14:paraId="556E33E1" w14:textId="4B4EAE14" w:rsidR="00DA7412" w:rsidRDefault="00DA7412">
      <w:pPr>
        <w:pStyle w:val="TOC2"/>
        <w:rPr>
          <w:rFonts w:asciiTheme="minorHAnsi" w:eastAsiaTheme="minorEastAsia" w:hAnsiTheme="minorHAnsi" w:cstheme="minorBidi"/>
          <w:snapToGrid/>
          <w:kern w:val="0"/>
          <w:szCs w:val="22"/>
          <w:lang w:eastAsia="en-AU"/>
        </w:rPr>
      </w:pPr>
      <w:hyperlink w:anchor="_Toc18916417" w:history="1">
        <w:r w:rsidRPr="00EB07C7">
          <w:rPr>
            <w:rStyle w:val="Hyperlink"/>
          </w:rPr>
          <w:t>2.1</w:t>
        </w:r>
        <w:r>
          <w:rPr>
            <w:rFonts w:asciiTheme="minorHAnsi" w:eastAsiaTheme="minorEastAsia" w:hAnsiTheme="minorHAnsi" w:cstheme="minorBidi"/>
            <w:snapToGrid/>
            <w:kern w:val="0"/>
            <w:szCs w:val="22"/>
            <w:lang w:eastAsia="en-AU"/>
          </w:rPr>
          <w:tab/>
        </w:r>
        <w:r w:rsidRPr="00EB07C7">
          <w:rPr>
            <w:rStyle w:val="Hyperlink"/>
          </w:rPr>
          <w:t>Key issue</w:t>
        </w:r>
        <w:r>
          <w:rPr>
            <w:webHidden/>
          </w:rPr>
          <w:tab/>
        </w:r>
        <w:r>
          <w:rPr>
            <w:webHidden/>
          </w:rPr>
          <w:fldChar w:fldCharType="begin"/>
        </w:r>
        <w:r>
          <w:rPr>
            <w:webHidden/>
          </w:rPr>
          <w:instrText xml:space="preserve"> PAGEREF _Toc18916417 \h </w:instrText>
        </w:r>
        <w:r>
          <w:rPr>
            <w:webHidden/>
          </w:rPr>
        </w:r>
        <w:r>
          <w:rPr>
            <w:webHidden/>
          </w:rPr>
          <w:fldChar w:fldCharType="separate"/>
        </w:r>
        <w:r>
          <w:rPr>
            <w:webHidden/>
          </w:rPr>
          <w:t>5</w:t>
        </w:r>
        <w:r>
          <w:rPr>
            <w:webHidden/>
          </w:rPr>
          <w:fldChar w:fldCharType="end"/>
        </w:r>
      </w:hyperlink>
    </w:p>
    <w:p w14:paraId="7FC933D9" w14:textId="4BE7694D" w:rsidR="00DA7412" w:rsidRDefault="00DA7412">
      <w:pPr>
        <w:pStyle w:val="TOC2"/>
        <w:rPr>
          <w:rFonts w:asciiTheme="minorHAnsi" w:eastAsiaTheme="minorEastAsia" w:hAnsiTheme="minorHAnsi" w:cstheme="minorBidi"/>
          <w:snapToGrid/>
          <w:kern w:val="0"/>
          <w:szCs w:val="22"/>
          <w:lang w:eastAsia="en-AU"/>
        </w:rPr>
      </w:pPr>
      <w:hyperlink w:anchor="_Toc18916418" w:history="1">
        <w:r w:rsidRPr="00EB07C7">
          <w:rPr>
            <w:rStyle w:val="Hyperlink"/>
          </w:rPr>
          <w:t>2.2</w:t>
        </w:r>
        <w:r>
          <w:rPr>
            <w:rFonts w:asciiTheme="minorHAnsi" w:eastAsiaTheme="minorEastAsia" w:hAnsiTheme="minorHAnsi" w:cstheme="minorBidi"/>
            <w:snapToGrid/>
            <w:kern w:val="0"/>
            <w:szCs w:val="22"/>
            <w:lang w:eastAsia="en-AU"/>
          </w:rPr>
          <w:tab/>
        </w:r>
        <w:r w:rsidRPr="00EB07C7">
          <w:rPr>
            <w:rStyle w:val="Hyperlink"/>
          </w:rPr>
          <w:t>ICTSS.1405A Agency Integration Service guidelines</w:t>
        </w:r>
        <w:r>
          <w:rPr>
            <w:webHidden/>
          </w:rPr>
          <w:tab/>
        </w:r>
        <w:r>
          <w:rPr>
            <w:webHidden/>
          </w:rPr>
          <w:fldChar w:fldCharType="begin"/>
        </w:r>
        <w:r>
          <w:rPr>
            <w:webHidden/>
          </w:rPr>
          <w:instrText xml:space="preserve"> PAGEREF _Toc18916418 \h </w:instrText>
        </w:r>
        <w:r>
          <w:rPr>
            <w:webHidden/>
          </w:rPr>
        </w:r>
        <w:r>
          <w:rPr>
            <w:webHidden/>
          </w:rPr>
          <w:fldChar w:fldCharType="separate"/>
        </w:r>
        <w:r>
          <w:rPr>
            <w:webHidden/>
          </w:rPr>
          <w:t>5</w:t>
        </w:r>
        <w:r>
          <w:rPr>
            <w:webHidden/>
          </w:rPr>
          <w:fldChar w:fldCharType="end"/>
        </w:r>
      </w:hyperlink>
    </w:p>
    <w:p w14:paraId="64D7085C" w14:textId="004C4655" w:rsidR="00DA7412" w:rsidRDefault="00DA7412">
      <w:pPr>
        <w:pStyle w:val="TOC2"/>
        <w:rPr>
          <w:rFonts w:asciiTheme="minorHAnsi" w:eastAsiaTheme="minorEastAsia" w:hAnsiTheme="minorHAnsi" w:cstheme="minorBidi"/>
          <w:snapToGrid/>
          <w:kern w:val="0"/>
          <w:szCs w:val="22"/>
          <w:lang w:eastAsia="en-AU"/>
        </w:rPr>
      </w:pPr>
      <w:hyperlink w:anchor="_Toc18916419" w:history="1">
        <w:r w:rsidRPr="00EB07C7">
          <w:rPr>
            <w:rStyle w:val="Hyperlink"/>
          </w:rPr>
          <w:t>2.3</w:t>
        </w:r>
        <w:r>
          <w:rPr>
            <w:rFonts w:asciiTheme="minorHAnsi" w:eastAsiaTheme="minorEastAsia" w:hAnsiTheme="minorHAnsi" w:cstheme="minorBidi"/>
            <w:snapToGrid/>
            <w:kern w:val="0"/>
            <w:szCs w:val="22"/>
            <w:lang w:eastAsia="en-AU"/>
          </w:rPr>
          <w:tab/>
        </w:r>
        <w:r w:rsidRPr="00EB07C7">
          <w:rPr>
            <w:rStyle w:val="Hyperlink"/>
          </w:rPr>
          <w:t>Exemption guidelines</w:t>
        </w:r>
        <w:r>
          <w:rPr>
            <w:webHidden/>
          </w:rPr>
          <w:tab/>
        </w:r>
        <w:r>
          <w:rPr>
            <w:webHidden/>
          </w:rPr>
          <w:fldChar w:fldCharType="begin"/>
        </w:r>
        <w:r>
          <w:rPr>
            <w:webHidden/>
          </w:rPr>
          <w:instrText xml:space="preserve"> PAGEREF _Toc18916419 \h </w:instrText>
        </w:r>
        <w:r>
          <w:rPr>
            <w:webHidden/>
          </w:rPr>
        </w:r>
        <w:r>
          <w:rPr>
            <w:webHidden/>
          </w:rPr>
          <w:fldChar w:fldCharType="separate"/>
        </w:r>
        <w:r>
          <w:rPr>
            <w:webHidden/>
          </w:rPr>
          <w:t>18</w:t>
        </w:r>
        <w:r>
          <w:rPr>
            <w:webHidden/>
          </w:rPr>
          <w:fldChar w:fldCharType="end"/>
        </w:r>
      </w:hyperlink>
    </w:p>
    <w:p w14:paraId="6CA9DC61" w14:textId="294A8207" w:rsidR="00503B8B" w:rsidRDefault="00C314B4" w:rsidP="00766CCB">
      <w:pPr>
        <w:spacing w:before="0" w:after="60"/>
        <w:rPr>
          <w:noProof/>
          <w:snapToGrid w:val="0"/>
        </w:rPr>
      </w:pPr>
      <w:r w:rsidRPr="00766CCB">
        <w:rPr>
          <w:noProof/>
          <w:snapToGrid w:val="0"/>
        </w:rPr>
        <w:fldChar w:fldCharType="end"/>
      </w:r>
    </w:p>
    <w:p w14:paraId="4B78773D" w14:textId="77777777" w:rsidR="00AD0A26" w:rsidRPr="00B12183" w:rsidRDefault="00AD0A26" w:rsidP="00B12183">
      <w:pPr>
        <w:pStyle w:val="Heading1nonumber"/>
        <w:rPr>
          <w:color w:val="5F5F5F"/>
        </w:rPr>
      </w:pPr>
      <w:r w:rsidRPr="00B12183">
        <w:rPr>
          <w:color w:val="5F5F5F"/>
        </w:rPr>
        <w:t>Figures</w:t>
      </w:r>
      <w:r w:rsidR="00656672" w:rsidRPr="00B12183">
        <w:rPr>
          <w:color w:val="5F5F5F"/>
        </w:rPr>
        <w:t xml:space="preserve"> </w:t>
      </w:r>
    </w:p>
    <w:p w14:paraId="0FFB7753" w14:textId="760E255A" w:rsidR="00DA7412"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18916420" w:history="1">
        <w:r w:rsidR="00DA7412" w:rsidRPr="00893A0C">
          <w:rPr>
            <w:rStyle w:val="Hyperlink"/>
            <w:noProof/>
          </w:rPr>
          <w:t>Figure 1 – Agency to POP connectivity</w:t>
        </w:r>
        <w:r w:rsidR="00DA7412">
          <w:rPr>
            <w:noProof/>
            <w:webHidden/>
          </w:rPr>
          <w:tab/>
        </w:r>
        <w:r w:rsidR="00DA7412">
          <w:rPr>
            <w:noProof/>
            <w:webHidden/>
          </w:rPr>
          <w:fldChar w:fldCharType="begin"/>
        </w:r>
        <w:r w:rsidR="00DA7412">
          <w:rPr>
            <w:noProof/>
            <w:webHidden/>
          </w:rPr>
          <w:instrText xml:space="preserve"> PAGEREF _Toc18916420 \h </w:instrText>
        </w:r>
        <w:r w:rsidR="00DA7412">
          <w:rPr>
            <w:noProof/>
            <w:webHidden/>
          </w:rPr>
        </w:r>
        <w:r w:rsidR="00DA7412">
          <w:rPr>
            <w:noProof/>
            <w:webHidden/>
          </w:rPr>
          <w:fldChar w:fldCharType="separate"/>
        </w:r>
        <w:r w:rsidR="00DA7412">
          <w:rPr>
            <w:noProof/>
            <w:webHidden/>
          </w:rPr>
          <w:t>6</w:t>
        </w:r>
        <w:r w:rsidR="00DA7412">
          <w:rPr>
            <w:noProof/>
            <w:webHidden/>
          </w:rPr>
          <w:fldChar w:fldCharType="end"/>
        </w:r>
      </w:hyperlink>
    </w:p>
    <w:p w14:paraId="3D1D739C" w14:textId="56F2EF96"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1" w:history="1">
        <w:r w:rsidRPr="00893A0C">
          <w:rPr>
            <w:rStyle w:val="Hyperlink"/>
            <w:noProof/>
          </w:rPr>
          <w:t>Figure 2 – AutoConfig Service</w:t>
        </w:r>
        <w:r>
          <w:rPr>
            <w:noProof/>
            <w:webHidden/>
          </w:rPr>
          <w:tab/>
        </w:r>
        <w:r>
          <w:rPr>
            <w:noProof/>
            <w:webHidden/>
          </w:rPr>
          <w:fldChar w:fldCharType="begin"/>
        </w:r>
        <w:r>
          <w:rPr>
            <w:noProof/>
            <w:webHidden/>
          </w:rPr>
          <w:instrText xml:space="preserve"> PAGEREF _Toc18916421 \h </w:instrText>
        </w:r>
        <w:r>
          <w:rPr>
            <w:noProof/>
            <w:webHidden/>
          </w:rPr>
        </w:r>
        <w:r>
          <w:rPr>
            <w:noProof/>
            <w:webHidden/>
          </w:rPr>
          <w:fldChar w:fldCharType="separate"/>
        </w:r>
        <w:r>
          <w:rPr>
            <w:noProof/>
            <w:webHidden/>
          </w:rPr>
          <w:t>9</w:t>
        </w:r>
        <w:r>
          <w:rPr>
            <w:noProof/>
            <w:webHidden/>
          </w:rPr>
          <w:fldChar w:fldCharType="end"/>
        </w:r>
      </w:hyperlink>
    </w:p>
    <w:p w14:paraId="2DE8F3F3" w14:textId="5C22F018"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2" w:history="1">
        <w:r w:rsidRPr="00893A0C">
          <w:rPr>
            <w:rStyle w:val="Hyperlink"/>
            <w:noProof/>
          </w:rPr>
          <w:t>Figure 3 – Authentication Settings</w:t>
        </w:r>
        <w:r>
          <w:rPr>
            <w:noProof/>
            <w:webHidden/>
          </w:rPr>
          <w:tab/>
        </w:r>
        <w:r>
          <w:rPr>
            <w:noProof/>
            <w:webHidden/>
          </w:rPr>
          <w:fldChar w:fldCharType="begin"/>
        </w:r>
        <w:r>
          <w:rPr>
            <w:noProof/>
            <w:webHidden/>
          </w:rPr>
          <w:instrText xml:space="preserve"> PAGEREF _Toc18916422 \h </w:instrText>
        </w:r>
        <w:r>
          <w:rPr>
            <w:noProof/>
            <w:webHidden/>
          </w:rPr>
        </w:r>
        <w:r>
          <w:rPr>
            <w:noProof/>
            <w:webHidden/>
          </w:rPr>
          <w:fldChar w:fldCharType="separate"/>
        </w:r>
        <w:r>
          <w:rPr>
            <w:noProof/>
            <w:webHidden/>
          </w:rPr>
          <w:t>10</w:t>
        </w:r>
        <w:r>
          <w:rPr>
            <w:noProof/>
            <w:webHidden/>
          </w:rPr>
          <w:fldChar w:fldCharType="end"/>
        </w:r>
      </w:hyperlink>
    </w:p>
    <w:p w14:paraId="5CE387AB" w14:textId="1E290CD2"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3" w:history="1">
        <w:r w:rsidRPr="00893A0C">
          <w:rPr>
            <w:rStyle w:val="Hyperlink"/>
            <w:noProof/>
          </w:rPr>
          <w:t>Figure 4 – Authentication tab</w:t>
        </w:r>
        <w:r>
          <w:rPr>
            <w:noProof/>
            <w:webHidden/>
          </w:rPr>
          <w:tab/>
        </w:r>
        <w:r>
          <w:rPr>
            <w:noProof/>
            <w:webHidden/>
          </w:rPr>
          <w:fldChar w:fldCharType="begin"/>
        </w:r>
        <w:r>
          <w:rPr>
            <w:noProof/>
            <w:webHidden/>
          </w:rPr>
          <w:instrText xml:space="preserve"> PAGEREF _Toc18916423 \h </w:instrText>
        </w:r>
        <w:r>
          <w:rPr>
            <w:noProof/>
            <w:webHidden/>
          </w:rPr>
        </w:r>
        <w:r>
          <w:rPr>
            <w:noProof/>
            <w:webHidden/>
          </w:rPr>
          <w:fldChar w:fldCharType="separate"/>
        </w:r>
        <w:r>
          <w:rPr>
            <w:noProof/>
            <w:webHidden/>
          </w:rPr>
          <w:t>10</w:t>
        </w:r>
        <w:r>
          <w:rPr>
            <w:noProof/>
            <w:webHidden/>
          </w:rPr>
          <w:fldChar w:fldCharType="end"/>
        </w:r>
      </w:hyperlink>
    </w:p>
    <w:p w14:paraId="1FD89586" w14:textId="63A3652E"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4" w:history="1">
        <w:r w:rsidRPr="00893A0C">
          <w:rPr>
            <w:rStyle w:val="Hyperlink"/>
            <w:noProof/>
          </w:rPr>
          <w:t>Figure 5 – Network authentication method</w:t>
        </w:r>
        <w:r>
          <w:rPr>
            <w:noProof/>
            <w:webHidden/>
          </w:rPr>
          <w:tab/>
        </w:r>
        <w:r>
          <w:rPr>
            <w:noProof/>
            <w:webHidden/>
          </w:rPr>
          <w:fldChar w:fldCharType="begin"/>
        </w:r>
        <w:r>
          <w:rPr>
            <w:noProof/>
            <w:webHidden/>
          </w:rPr>
          <w:instrText xml:space="preserve"> PAGEREF _Toc18916424 \h </w:instrText>
        </w:r>
        <w:r>
          <w:rPr>
            <w:noProof/>
            <w:webHidden/>
          </w:rPr>
        </w:r>
        <w:r>
          <w:rPr>
            <w:noProof/>
            <w:webHidden/>
          </w:rPr>
          <w:fldChar w:fldCharType="separate"/>
        </w:r>
        <w:r>
          <w:rPr>
            <w:noProof/>
            <w:webHidden/>
          </w:rPr>
          <w:t>11</w:t>
        </w:r>
        <w:r>
          <w:rPr>
            <w:noProof/>
            <w:webHidden/>
          </w:rPr>
          <w:fldChar w:fldCharType="end"/>
        </w:r>
      </w:hyperlink>
    </w:p>
    <w:p w14:paraId="52ECE675" w14:textId="7CD63DB2"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5" w:history="1">
        <w:r w:rsidRPr="00893A0C">
          <w:rPr>
            <w:rStyle w:val="Hyperlink"/>
            <w:noProof/>
          </w:rPr>
          <w:t>Figure 6 – Settings</w:t>
        </w:r>
        <w:r>
          <w:rPr>
            <w:noProof/>
            <w:webHidden/>
          </w:rPr>
          <w:tab/>
        </w:r>
        <w:r>
          <w:rPr>
            <w:noProof/>
            <w:webHidden/>
          </w:rPr>
          <w:fldChar w:fldCharType="begin"/>
        </w:r>
        <w:r>
          <w:rPr>
            <w:noProof/>
            <w:webHidden/>
          </w:rPr>
          <w:instrText xml:space="preserve"> PAGEREF _Toc18916425 \h </w:instrText>
        </w:r>
        <w:r>
          <w:rPr>
            <w:noProof/>
            <w:webHidden/>
          </w:rPr>
        </w:r>
        <w:r>
          <w:rPr>
            <w:noProof/>
            <w:webHidden/>
          </w:rPr>
          <w:fldChar w:fldCharType="separate"/>
        </w:r>
        <w:r>
          <w:rPr>
            <w:noProof/>
            <w:webHidden/>
          </w:rPr>
          <w:t>11</w:t>
        </w:r>
        <w:r>
          <w:rPr>
            <w:noProof/>
            <w:webHidden/>
          </w:rPr>
          <w:fldChar w:fldCharType="end"/>
        </w:r>
      </w:hyperlink>
    </w:p>
    <w:p w14:paraId="6551F9DB" w14:textId="626A4C46"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6" w:history="1">
        <w:r w:rsidRPr="00893A0C">
          <w:rPr>
            <w:rStyle w:val="Hyperlink"/>
            <w:noProof/>
          </w:rPr>
          <w:t>Figure 7 – Certificate properties</w:t>
        </w:r>
        <w:r>
          <w:rPr>
            <w:noProof/>
            <w:webHidden/>
          </w:rPr>
          <w:tab/>
        </w:r>
        <w:r>
          <w:rPr>
            <w:noProof/>
            <w:webHidden/>
          </w:rPr>
          <w:fldChar w:fldCharType="begin"/>
        </w:r>
        <w:r>
          <w:rPr>
            <w:noProof/>
            <w:webHidden/>
          </w:rPr>
          <w:instrText xml:space="preserve"> PAGEREF _Toc18916426 \h </w:instrText>
        </w:r>
        <w:r>
          <w:rPr>
            <w:noProof/>
            <w:webHidden/>
          </w:rPr>
        </w:r>
        <w:r>
          <w:rPr>
            <w:noProof/>
            <w:webHidden/>
          </w:rPr>
          <w:fldChar w:fldCharType="separate"/>
        </w:r>
        <w:r>
          <w:rPr>
            <w:noProof/>
            <w:webHidden/>
          </w:rPr>
          <w:t>12</w:t>
        </w:r>
        <w:r>
          <w:rPr>
            <w:noProof/>
            <w:webHidden/>
          </w:rPr>
          <w:fldChar w:fldCharType="end"/>
        </w:r>
      </w:hyperlink>
    </w:p>
    <w:p w14:paraId="14EB4138" w14:textId="145B0A82"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7" w:history="1">
        <w:r w:rsidRPr="00893A0C">
          <w:rPr>
            <w:rStyle w:val="Hyperlink"/>
            <w:noProof/>
          </w:rPr>
          <w:t>Figure 8 - Advanced settings</w:t>
        </w:r>
        <w:r>
          <w:rPr>
            <w:noProof/>
            <w:webHidden/>
          </w:rPr>
          <w:tab/>
        </w:r>
        <w:r>
          <w:rPr>
            <w:noProof/>
            <w:webHidden/>
          </w:rPr>
          <w:fldChar w:fldCharType="begin"/>
        </w:r>
        <w:r>
          <w:rPr>
            <w:noProof/>
            <w:webHidden/>
          </w:rPr>
          <w:instrText xml:space="preserve"> PAGEREF _Toc18916427 \h </w:instrText>
        </w:r>
        <w:r>
          <w:rPr>
            <w:noProof/>
            <w:webHidden/>
          </w:rPr>
        </w:r>
        <w:r>
          <w:rPr>
            <w:noProof/>
            <w:webHidden/>
          </w:rPr>
          <w:fldChar w:fldCharType="separate"/>
        </w:r>
        <w:r>
          <w:rPr>
            <w:noProof/>
            <w:webHidden/>
          </w:rPr>
          <w:t>13</w:t>
        </w:r>
        <w:r>
          <w:rPr>
            <w:noProof/>
            <w:webHidden/>
          </w:rPr>
          <w:fldChar w:fldCharType="end"/>
        </w:r>
      </w:hyperlink>
    </w:p>
    <w:p w14:paraId="2031C216" w14:textId="4ED91EA3"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8" w:history="1">
        <w:r w:rsidRPr="00893A0C">
          <w:rPr>
            <w:rStyle w:val="Hyperlink"/>
            <w:noProof/>
          </w:rPr>
          <w:t>Figure 9 - Authentication mode</w:t>
        </w:r>
        <w:r>
          <w:rPr>
            <w:noProof/>
            <w:webHidden/>
          </w:rPr>
          <w:tab/>
        </w:r>
        <w:r>
          <w:rPr>
            <w:noProof/>
            <w:webHidden/>
          </w:rPr>
          <w:fldChar w:fldCharType="begin"/>
        </w:r>
        <w:r>
          <w:rPr>
            <w:noProof/>
            <w:webHidden/>
          </w:rPr>
          <w:instrText xml:space="preserve"> PAGEREF _Toc18916428 \h </w:instrText>
        </w:r>
        <w:r>
          <w:rPr>
            <w:noProof/>
            <w:webHidden/>
          </w:rPr>
        </w:r>
        <w:r>
          <w:rPr>
            <w:noProof/>
            <w:webHidden/>
          </w:rPr>
          <w:fldChar w:fldCharType="separate"/>
        </w:r>
        <w:r>
          <w:rPr>
            <w:noProof/>
            <w:webHidden/>
          </w:rPr>
          <w:t>13</w:t>
        </w:r>
        <w:r>
          <w:rPr>
            <w:noProof/>
            <w:webHidden/>
          </w:rPr>
          <w:fldChar w:fldCharType="end"/>
        </w:r>
      </w:hyperlink>
    </w:p>
    <w:p w14:paraId="2FEF7712" w14:textId="13C4CE43"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29" w:history="1">
        <w:r w:rsidRPr="00893A0C">
          <w:rPr>
            <w:rStyle w:val="Hyperlink"/>
            <w:noProof/>
          </w:rPr>
          <w:t>Figure 10 – Setup new network connection</w:t>
        </w:r>
        <w:r>
          <w:rPr>
            <w:noProof/>
            <w:webHidden/>
          </w:rPr>
          <w:tab/>
        </w:r>
        <w:r>
          <w:rPr>
            <w:noProof/>
            <w:webHidden/>
          </w:rPr>
          <w:fldChar w:fldCharType="begin"/>
        </w:r>
        <w:r>
          <w:rPr>
            <w:noProof/>
            <w:webHidden/>
          </w:rPr>
          <w:instrText xml:space="preserve"> PAGEREF _Toc18916429 \h </w:instrText>
        </w:r>
        <w:r>
          <w:rPr>
            <w:noProof/>
            <w:webHidden/>
          </w:rPr>
        </w:r>
        <w:r>
          <w:rPr>
            <w:noProof/>
            <w:webHidden/>
          </w:rPr>
          <w:fldChar w:fldCharType="separate"/>
        </w:r>
        <w:r>
          <w:rPr>
            <w:noProof/>
            <w:webHidden/>
          </w:rPr>
          <w:t>14</w:t>
        </w:r>
        <w:r>
          <w:rPr>
            <w:noProof/>
            <w:webHidden/>
          </w:rPr>
          <w:fldChar w:fldCharType="end"/>
        </w:r>
      </w:hyperlink>
    </w:p>
    <w:p w14:paraId="10B7C668" w14:textId="2A91A291"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0" w:history="1">
        <w:r w:rsidRPr="00893A0C">
          <w:rPr>
            <w:rStyle w:val="Hyperlink"/>
            <w:noProof/>
          </w:rPr>
          <w:t>Figure 11 – Manual connection</w:t>
        </w:r>
        <w:r>
          <w:rPr>
            <w:noProof/>
            <w:webHidden/>
          </w:rPr>
          <w:tab/>
        </w:r>
        <w:r>
          <w:rPr>
            <w:noProof/>
            <w:webHidden/>
          </w:rPr>
          <w:fldChar w:fldCharType="begin"/>
        </w:r>
        <w:r>
          <w:rPr>
            <w:noProof/>
            <w:webHidden/>
          </w:rPr>
          <w:instrText xml:space="preserve"> PAGEREF _Toc18916430 \h </w:instrText>
        </w:r>
        <w:r>
          <w:rPr>
            <w:noProof/>
            <w:webHidden/>
          </w:rPr>
        </w:r>
        <w:r>
          <w:rPr>
            <w:noProof/>
            <w:webHidden/>
          </w:rPr>
          <w:fldChar w:fldCharType="separate"/>
        </w:r>
        <w:r>
          <w:rPr>
            <w:noProof/>
            <w:webHidden/>
          </w:rPr>
          <w:t>14</w:t>
        </w:r>
        <w:r>
          <w:rPr>
            <w:noProof/>
            <w:webHidden/>
          </w:rPr>
          <w:fldChar w:fldCharType="end"/>
        </w:r>
      </w:hyperlink>
    </w:p>
    <w:p w14:paraId="75434797" w14:textId="03AD8710"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1" w:history="1">
        <w:r w:rsidRPr="00893A0C">
          <w:rPr>
            <w:rStyle w:val="Hyperlink"/>
            <w:noProof/>
          </w:rPr>
          <w:t>Figure 12 -  Network Name</w:t>
        </w:r>
        <w:r>
          <w:rPr>
            <w:noProof/>
            <w:webHidden/>
          </w:rPr>
          <w:tab/>
        </w:r>
        <w:r>
          <w:rPr>
            <w:noProof/>
            <w:webHidden/>
          </w:rPr>
          <w:fldChar w:fldCharType="begin"/>
        </w:r>
        <w:r>
          <w:rPr>
            <w:noProof/>
            <w:webHidden/>
          </w:rPr>
          <w:instrText xml:space="preserve"> PAGEREF _Toc18916431 \h </w:instrText>
        </w:r>
        <w:r>
          <w:rPr>
            <w:noProof/>
            <w:webHidden/>
          </w:rPr>
        </w:r>
        <w:r>
          <w:rPr>
            <w:noProof/>
            <w:webHidden/>
          </w:rPr>
          <w:fldChar w:fldCharType="separate"/>
        </w:r>
        <w:r>
          <w:rPr>
            <w:noProof/>
            <w:webHidden/>
          </w:rPr>
          <w:t>15</w:t>
        </w:r>
        <w:r>
          <w:rPr>
            <w:noProof/>
            <w:webHidden/>
          </w:rPr>
          <w:fldChar w:fldCharType="end"/>
        </w:r>
      </w:hyperlink>
    </w:p>
    <w:p w14:paraId="311E5475" w14:textId="3D43A964"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2" w:history="1">
        <w:r w:rsidRPr="00893A0C">
          <w:rPr>
            <w:rStyle w:val="Hyperlink"/>
            <w:noProof/>
          </w:rPr>
          <w:t>Figure 13 Change connection settings</w:t>
        </w:r>
        <w:r>
          <w:rPr>
            <w:noProof/>
            <w:webHidden/>
          </w:rPr>
          <w:tab/>
        </w:r>
        <w:r>
          <w:rPr>
            <w:noProof/>
            <w:webHidden/>
          </w:rPr>
          <w:fldChar w:fldCharType="begin"/>
        </w:r>
        <w:r>
          <w:rPr>
            <w:noProof/>
            <w:webHidden/>
          </w:rPr>
          <w:instrText xml:space="preserve"> PAGEREF _Toc18916432 \h </w:instrText>
        </w:r>
        <w:r>
          <w:rPr>
            <w:noProof/>
            <w:webHidden/>
          </w:rPr>
        </w:r>
        <w:r>
          <w:rPr>
            <w:noProof/>
            <w:webHidden/>
          </w:rPr>
          <w:fldChar w:fldCharType="separate"/>
        </w:r>
        <w:r>
          <w:rPr>
            <w:noProof/>
            <w:webHidden/>
          </w:rPr>
          <w:t>15</w:t>
        </w:r>
        <w:r>
          <w:rPr>
            <w:noProof/>
            <w:webHidden/>
          </w:rPr>
          <w:fldChar w:fldCharType="end"/>
        </w:r>
      </w:hyperlink>
    </w:p>
    <w:p w14:paraId="739AD5DB" w14:textId="1388D5DC"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3" w:history="1">
        <w:r w:rsidRPr="00893A0C">
          <w:rPr>
            <w:rStyle w:val="Hyperlink"/>
            <w:noProof/>
          </w:rPr>
          <w:t>Figure 14 – Connection security</w:t>
        </w:r>
        <w:r>
          <w:rPr>
            <w:noProof/>
            <w:webHidden/>
          </w:rPr>
          <w:tab/>
        </w:r>
        <w:r>
          <w:rPr>
            <w:noProof/>
            <w:webHidden/>
          </w:rPr>
          <w:fldChar w:fldCharType="begin"/>
        </w:r>
        <w:r>
          <w:rPr>
            <w:noProof/>
            <w:webHidden/>
          </w:rPr>
          <w:instrText xml:space="preserve"> PAGEREF _Toc18916433 \h </w:instrText>
        </w:r>
        <w:r>
          <w:rPr>
            <w:noProof/>
            <w:webHidden/>
          </w:rPr>
        </w:r>
        <w:r>
          <w:rPr>
            <w:noProof/>
            <w:webHidden/>
          </w:rPr>
          <w:fldChar w:fldCharType="separate"/>
        </w:r>
        <w:r>
          <w:rPr>
            <w:noProof/>
            <w:webHidden/>
          </w:rPr>
          <w:t>16</w:t>
        </w:r>
        <w:r>
          <w:rPr>
            <w:noProof/>
            <w:webHidden/>
          </w:rPr>
          <w:fldChar w:fldCharType="end"/>
        </w:r>
      </w:hyperlink>
    </w:p>
    <w:p w14:paraId="160B2C18" w14:textId="59B4A1D6"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4" w:history="1">
        <w:r w:rsidRPr="00893A0C">
          <w:rPr>
            <w:rStyle w:val="Hyperlink"/>
            <w:noProof/>
          </w:rPr>
          <w:t>Figure 15 – Use certificate</w:t>
        </w:r>
        <w:r>
          <w:rPr>
            <w:noProof/>
            <w:webHidden/>
          </w:rPr>
          <w:tab/>
        </w:r>
        <w:r>
          <w:rPr>
            <w:noProof/>
            <w:webHidden/>
          </w:rPr>
          <w:fldChar w:fldCharType="begin"/>
        </w:r>
        <w:r>
          <w:rPr>
            <w:noProof/>
            <w:webHidden/>
          </w:rPr>
          <w:instrText xml:space="preserve"> PAGEREF _Toc18916434 \h </w:instrText>
        </w:r>
        <w:r>
          <w:rPr>
            <w:noProof/>
            <w:webHidden/>
          </w:rPr>
        </w:r>
        <w:r>
          <w:rPr>
            <w:noProof/>
            <w:webHidden/>
          </w:rPr>
          <w:fldChar w:fldCharType="separate"/>
        </w:r>
        <w:r>
          <w:rPr>
            <w:noProof/>
            <w:webHidden/>
          </w:rPr>
          <w:t>17</w:t>
        </w:r>
        <w:r>
          <w:rPr>
            <w:noProof/>
            <w:webHidden/>
          </w:rPr>
          <w:fldChar w:fldCharType="end"/>
        </w:r>
      </w:hyperlink>
    </w:p>
    <w:p w14:paraId="45A7602C" w14:textId="0D6B380F"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5" w:history="1">
        <w:r w:rsidRPr="00893A0C">
          <w:rPr>
            <w:rStyle w:val="Hyperlink"/>
            <w:noProof/>
          </w:rPr>
          <w:t>Figure 16 – Authentication mode</w:t>
        </w:r>
        <w:r>
          <w:rPr>
            <w:noProof/>
            <w:webHidden/>
          </w:rPr>
          <w:tab/>
        </w:r>
        <w:r>
          <w:rPr>
            <w:noProof/>
            <w:webHidden/>
          </w:rPr>
          <w:fldChar w:fldCharType="begin"/>
        </w:r>
        <w:r>
          <w:rPr>
            <w:noProof/>
            <w:webHidden/>
          </w:rPr>
          <w:instrText xml:space="preserve"> PAGEREF _Toc18916435 \h </w:instrText>
        </w:r>
        <w:r>
          <w:rPr>
            <w:noProof/>
            <w:webHidden/>
          </w:rPr>
        </w:r>
        <w:r>
          <w:rPr>
            <w:noProof/>
            <w:webHidden/>
          </w:rPr>
          <w:fldChar w:fldCharType="separate"/>
        </w:r>
        <w:r>
          <w:rPr>
            <w:noProof/>
            <w:webHidden/>
          </w:rPr>
          <w:t>17</w:t>
        </w:r>
        <w:r>
          <w:rPr>
            <w:noProof/>
            <w:webHidden/>
          </w:rPr>
          <w:fldChar w:fldCharType="end"/>
        </w:r>
      </w:hyperlink>
    </w:p>
    <w:p w14:paraId="786F1DBB" w14:textId="7BFC0FEA" w:rsidR="00AD0A26" w:rsidRDefault="00C314B4" w:rsidP="00766CCB">
      <w:pPr>
        <w:rPr>
          <w:noProof/>
          <w:snapToGrid w:val="0"/>
        </w:rPr>
      </w:pPr>
      <w:r>
        <w:rPr>
          <w:noProof/>
          <w:snapToGrid w:val="0"/>
        </w:rPr>
        <w:fldChar w:fldCharType="end"/>
      </w:r>
    </w:p>
    <w:p w14:paraId="59D48279" w14:textId="77777777" w:rsidR="00AD0A26" w:rsidRPr="00B12183" w:rsidRDefault="00AD0A26" w:rsidP="00B12183">
      <w:pPr>
        <w:pStyle w:val="Heading1nonumber"/>
        <w:rPr>
          <w:noProof/>
          <w:color w:val="5F5F5F"/>
          <w:kern w:val="24"/>
        </w:rPr>
      </w:pPr>
      <w:r w:rsidRPr="00B12183">
        <w:rPr>
          <w:color w:val="5F5F5F"/>
        </w:rPr>
        <w:t>Tables</w:t>
      </w:r>
      <w:r w:rsidR="00656672" w:rsidRPr="00B12183">
        <w:rPr>
          <w:color w:val="5F5F5F"/>
        </w:rPr>
        <w:t xml:space="preserve"> </w:t>
      </w:r>
    </w:p>
    <w:p w14:paraId="3EB25CEC" w14:textId="053D188C" w:rsidR="00DA7412"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"Table" </w:instrText>
      </w:r>
      <w:r>
        <w:rPr>
          <w:noProof/>
          <w:snapToGrid w:val="0"/>
          <w:kern w:val="24"/>
        </w:rPr>
        <w:fldChar w:fldCharType="separate"/>
      </w:r>
      <w:hyperlink w:anchor="_Toc18916436" w:history="1">
        <w:r w:rsidR="00DA7412" w:rsidRPr="00B73DBF">
          <w:rPr>
            <w:rStyle w:val="Hyperlink"/>
            <w:noProof/>
          </w:rPr>
          <w:t>Table 1 – Example of the 1WS, AIS spreadsheet</w:t>
        </w:r>
        <w:r w:rsidR="00DA7412">
          <w:rPr>
            <w:noProof/>
            <w:webHidden/>
          </w:rPr>
          <w:tab/>
        </w:r>
        <w:r w:rsidR="00DA7412">
          <w:rPr>
            <w:noProof/>
            <w:webHidden/>
          </w:rPr>
          <w:fldChar w:fldCharType="begin"/>
        </w:r>
        <w:r w:rsidR="00DA7412">
          <w:rPr>
            <w:noProof/>
            <w:webHidden/>
          </w:rPr>
          <w:instrText xml:space="preserve"> PAGEREF _Toc18916436 \h </w:instrText>
        </w:r>
        <w:r w:rsidR="00DA7412">
          <w:rPr>
            <w:noProof/>
            <w:webHidden/>
          </w:rPr>
        </w:r>
        <w:r w:rsidR="00DA7412">
          <w:rPr>
            <w:noProof/>
            <w:webHidden/>
          </w:rPr>
          <w:fldChar w:fldCharType="separate"/>
        </w:r>
        <w:r w:rsidR="00DA7412">
          <w:rPr>
            <w:noProof/>
            <w:webHidden/>
          </w:rPr>
          <w:t>7</w:t>
        </w:r>
        <w:r w:rsidR="00DA7412">
          <w:rPr>
            <w:noProof/>
            <w:webHidden/>
          </w:rPr>
          <w:fldChar w:fldCharType="end"/>
        </w:r>
      </w:hyperlink>
    </w:p>
    <w:p w14:paraId="5BA3AD3D" w14:textId="694B79E2"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7" w:history="1">
        <w:r w:rsidRPr="00B73DBF">
          <w:rPr>
            <w:rStyle w:val="Hyperlink"/>
            <w:noProof/>
          </w:rPr>
          <w:t>Table 2 CRL Requirements</w:t>
        </w:r>
        <w:r>
          <w:rPr>
            <w:noProof/>
            <w:webHidden/>
          </w:rPr>
          <w:tab/>
        </w:r>
        <w:r>
          <w:rPr>
            <w:noProof/>
            <w:webHidden/>
          </w:rPr>
          <w:fldChar w:fldCharType="begin"/>
        </w:r>
        <w:r>
          <w:rPr>
            <w:noProof/>
            <w:webHidden/>
          </w:rPr>
          <w:instrText xml:space="preserve"> PAGEREF _Toc18916437 \h </w:instrText>
        </w:r>
        <w:r>
          <w:rPr>
            <w:noProof/>
            <w:webHidden/>
          </w:rPr>
        </w:r>
        <w:r>
          <w:rPr>
            <w:noProof/>
            <w:webHidden/>
          </w:rPr>
          <w:fldChar w:fldCharType="separate"/>
        </w:r>
        <w:r>
          <w:rPr>
            <w:noProof/>
            <w:webHidden/>
          </w:rPr>
          <w:t>8</w:t>
        </w:r>
        <w:r>
          <w:rPr>
            <w:noProof/>
            <w:webHidden/>
          </w:rPr>
          <w:fldChar w:fldCharType="end"/>
        </w:r>
      </w:hyperlink>
    </w:p>
    <w:p w14:paraId="3139DF64" w14:textId="58297770"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8" w:history="1">
        <w:r w:rsidRPr="00B73DBF">
          <w:rPr>
            <w:rStyle w:val="Hyperlink"/>
            <w:noProof/>
          </w:rPr>
          <w:t>Table 3 - CRL Sample spreadsheet</w:t>
        </w:r>
        <w:r>
          <w:rPr>
            <w:noProof/>
            <w:webHidden/>
          </w:rPr>
          <w:tab/>
        </w:r>
        <w:r>
          <w:rPr>
            <w:noProof/>
            <w:webHidden/>
          </w:rPr>
          <w:fldChar w:fldCharType="begin"/>
        </w:r>
        <w:r>
          <w:rPr>
            <w:noProof/>
            <w:webHidden/>
          </w:rPr>
          <w:instrText xml:space="preserve"> PAGEREF _Toc18916438 \h </w:instrText>
        </w:r>
        <w:r>
          <w:rPr>
            <w:noProof/>
            <w:webHidden/>
          </w:rPr>
        </w:r>
        <w:r>
          <w:rPr>
            <w:noProof/>
            <w:webHidden/>
          </w:rPr>
          <w:fldChar w:fldCharType="separate"/>
        </w:r>
        <w:r>
          <w:rPr>
            <w:noProof/>
            <w:webHidden/>
          </w:rPr>
          <w:t>8</w:t>
        </w:r>
        <w:r>
          <w:rPr>
            <w:noProof/>
            <w:webHidden/>
          </w:rPr>
          <w:fldChar w:fldCharType="end"/>
        </w:r>
      </w:hyperlink>
    </w:p>
    <w:p w14:paraId="143BDE31" w14:textId="3510DD65" w:rsidR="00DA7412" w:rsidRDefault="00DA7412">
      <w:pPr>
        <w:pStyle w:val="TableofFigures"/>
        <w:tabs>
          <w:tab w:val="right" w:leader="dot" w:pos="9628"/>
        </w:tabs>
        <w:rPr>
          <w:rFonts w:asciiTheme="minorHAnsi" w:eastAsiaTheme="minorEastAsia" w:hAnsiTheme="minorHAnsi" w:cstheme="minorBidi"/>
          <w:noProof/>
          <w:szCs w:val="22"/>
        </w:rPr>
      </w:pPr>
      <w:hyperlink w:anchor="_Toc18916439" w:history="1">
        <w:r w:rsidRPr="00B73DBF">
          <w:rPr>
            <w:rStyle w:val="Hyperlink"/>
            <w:noProof/>
          </w:rPr>
          <w:t>Table 4 – Sample DNS spreadsheet</w:t>
        </w:r>
        <w:bookmarkStart w:id="0" w:name="_GoBack"/>
        <w:bookmarkEnd w:id="0"/>
        <w:r>
          <w:rPr>
            <w:noProof/>
            <w:webHidden/>
          </w:rPr>
          <w:tab/>
        </w:r>
        <w:r>
          <w:rPr>
            <w:noProof/>
            <w:webHidden/>
          </w:rPr>
          <w:fldChar w:fldCharType="begin"/>
        </w:r>
        <w:r>
          <w:rPr>
            <w:noProof/>
            <w:webHidden/>
          </w:rPr>
          <w:instrText xml:space="preserve"> PAGEREF _Toc18916439 \h </w:instrText>
        </w:r>
        <w:r>
          <w:rPr>
            <w:noProof/>
            <w:webHidden/>
          </w:rPr>
        </w:r>
        <w:r>
          <w:rPr>
            <w:noProof/>
            <w:webHidden/>
          </w:rPr>
          <w:fldChar w:fldCharType="separate"/>
        </w:r>
        <w:r>
          <w:rPr>
            <w:noProof/>
            <w:webHidden/>
          </w:rPr>
          <w:t>8</w:t>
        </w:r>
        <w:r>
          <w:rPr>
            <w:noProof/>
            <w:webHidden/>
          </w:rPr>
          <w:fldChar w:fldCharType="end"/>
        </w:r>
      </w:hyperlink>
    </w:p>
    <w:p w14:paraId="0ECE8FE8" w14:textId="35029246" w:rsidR="00AD0A26" w:rsidRDefault="00C314B4" w:rsidP="00766CCB">
      <w:pPr>
        <w:rPr>
          <w:noProof/>
          <w:snapToGrid w:val="0"/>
        </w:rPr>
      </w:pPr>
      <w:r>
        <w:rPr>
          <w:noProof/>
          <w:snapToGrid w:val="0"/>
        </w:rPr>
        <w:fldChar w:fldCharType="end"/>
      </w:r>
    </w:p>
    <w:p w14:paraId="25736823" w14:textId="77777777" w:rsidR="00AD0A26" w:rsidRDefault="00AD0A26" w:rsidP="00766CCB">
      <w:pPr>
        <w:rPr>
          <w:noProof/>
          <w:snapToGrid w:val="0"/>
        </w:rPr>
      </w:pPr>
    </w:p>
    <w:p w14:paraId="576ECAAC" w14:textId="77777777"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14:paraId="50621F05" w14:textId="77777777" w:rsidR="00653A37" w:rsidRDefault="00653A37" w:rsidP="00B12183">
      <w:pPr>
        <w:pStyle w:val="Heading1"/>
      </w:pPr>
      <w:bookmarkStart w:id="1" w:name="_Ref215544170"/>
      <w:bookmarkStart w:id="2" w:name="_Toc216778011"/>
      <w:bookmarkStart w:id="3" w:name="_Toc18916412"/>
      <w:r>
        <w:lastRenderedPageBreak/>
        <w:t>Introduction</w:t>
      </w:r>
      <w:bookmarkEnd w:id="1"/>
      <w:bookmarkEnd w:id="2"/>
      <w:bookmarkEnd w:id="3"/>
    </w:p>
    <w:p w14:paraId="5F4CEA4A" w14:textId="54EA5894" w:rsidR="001C5820" w:rsidRDefault="001C5820" w:rsidP="001C5820">
      <w:pPr>
        <w:pStyle w:val="BodyText"/>
        <w:rPr>
          <w:rStyle w:val="Hyperlink"/>
        </w:rPr>
      </w:pPr>
      <w:r>
        <w:t>To</w:t>
      </w:r>
      <w:r w:rsidR="00FD3E94">
        <w:t xml:space="preserve"> </w:t>
      </w:r>
      <w:r>
        <w:t xml:space="preserve">ensure that the delivery of government services underpinned by information technology is collaborative reliable, low risk, cost effective and agile, the Queensland Government will standardise the implementation of inbuilding wired and wireless ICT infrastructure and services in alignment with the QGEA </w:t>
      </w:r>
      <w:hyperlink r:id="rId17" w:history="1">
        <w:r>
          <w:rPr>
            <w:rStyle w:val="Hyperlink"/>
          </w:rPr>
          <w:t>Collaborative workspace s</w:t>
        </w:r>
        <w:r w:rsidRPr="00E70C9F">
          <w:rPr>
            <w:rStyle w:val="Hyperlink"/>
          </w:rPr>
          <w:t xml:space="preserve">trategy and </w:t>
        </w:r>
        <w:r>
          <w:rPr>
            <w:rStyle w:val="Hyperlink"/>
          </w:rPr>
          <w:t>p</w:t>
        </w:r>
        <w:r w:rsidRPr="00E70C9F">
          <w:rPr>
            <w:rStyle w:val="Hyperlink"/>
          </w:rPr>
          <w:t>rinciples</w:t>
        </w:r>
      </w:hyperlink>
    </w:p>
    <w:p w14:paraId="24C5132B" w14:textId="77777777" w:rsidR="00CD010E" w:rsidRDefault="00CD010E" w:rsidP="00CD010E">
      <w:pPr>
        <w:pStyle w:val="BodyText"/>
      </w:pPr>
      <w:r>
        <w:t>The basic architectural principles contained in the strategy are described as follow:</w:t>
      </w:r>
    </w:p>
    <w:p w14:paraId="377D1CE2" w14:textId="77777777" w:rsidR="00CD010E" w:rsidRDefault="00A3281A" w:rsidP="00CD010E">
      <w:pPr>
        <w:pStyle w:val="ListParagraph"/>
        <w:numPr>
          <w:ilvl w:val="0"/>
          <w:numId w:val="34"/>
        </w:numPr>
      </w:pPr>
      <w:r>
        <w:t xml:space="preserve">any </w:t>
      </w:r>
      <w:r w:rsidR="00CD010E">
        <w:t>person, anywhere, anytime access to services provided by Dimension Data</w:t>
      </w:r>
    </w:p>
    <w:p w14:paraId="55C9CFC9" w14:textId="77777777" w:rsidR="00CD010E" w:rsidRDefault="00A3281A" w:rsidP="00CD010E">
      <w:pPr>
        <w:pStyle w:val="ListParagraph"/>
        <w:numPr>
          <w:ilvl w:val="0"/>
          <w:numId w:val="34"/>
        </w:numPr>
      </w:pPr>
      <w:r>
        <w:t xml:space="preserve">a </w:t>
      </w:r>
      <w:r w:rsidR="00CD010E">
        <w:t xml:space="preserve">robust security model not focussed on perimeter and edge security, but more so leveraging </w:t>
      </w:r>
      <w:r>
        <w:t xml:space="preserve">identity, application security and endpoint </w:t>
      </w:r>
      <w:r w:rsidR="00CD010E">
        <w:t>controls.</w:t>
      </w:r>
    </w:p>
    <w:p w14:paraId="3A352903" w14:textId="77777777" w:rsidR="00CD010E" w:rsidRDefault="00A3281A" w:rsidP="00CD010E">
      <w:pPr>
        <w:pStyle w:val="ListParagraph"/>
        <w:numPr>
          <w:ilvl w:val="0"/>
          <w:numId w:val="34"/>
        </w:numPr>
      </w:pPr>
      <w:r>
        <w:t xml:space="preserve">shared infrastructure </w:t>
      </w:r>
      <w:r w:rsidR="00CD010E">
        <w:t>(both wired and wireless).</w:t>
      </w:r>
    </w:p>
    <w:p w14:paraId="24732D83" w14:textId="77777777" w:rsidR="00CD010E" w:rsidRDefault="00A3281A" w:rsidP="00CD010E">
      <w:pPr>
        <w:pStyle w:val="ListParagraph"/>
        <w:numPr>
          <w:ilvl w:val="0"/>
          <w:numId w:val="34"/>
        </w:numPr>
      </w:pPr>
      <w:r>
        <w:t xml:space="preserve">logical </w:t>
      </w:r>
      <w:r w:rsidR="00CD010E">
        <w:t>separation where required.</w:t>
      </w:r>
    </w:p>
    <w:p w14:paraId="71A5B0C3" w14:textId="77777777" w:rsidR="00CD010E" w:rsidRDefault="00CD010E" w:rsidP="00CD010E">
      <w:pPr>
        <w:pStyle w:val="ListParagraph"/>
        <w:numPr>
          <w:ilvl w:val="0"/>
          <w:numId w:val="34"/>
        </w:numPr>
      </w:pPr>
      <w:r>
        <w:t>“</w:t>
      </w:r>
      <w:r w:rsidR="00A3281A">
        <w:t xml:space="preserve">as </w:t>
      </w:r>
      <w:r>
        <w:t>a Service” consumption model.</w:t>
      </w:r>
    </w:p>
    <w:p w14:paraId="7C7B0F30" w14:textId="77777777" w:rsidR="00CD010E" w:rsidRPr="001C5820" w:rsidRDefault="00A3281A" w:rsidP="00CD010E">
      <w:pPr>
        <w:pStyle w:val="ListParagraph"/>
        <w:numPr>
          <w:ilvl w:val="0"/>
          <w:numId w:val="34"/>
        </w:numPr>
      </w:pPr>
      <w:r>
        <w:t xml:space="preserve">architecture </w:t>
      </w:r>
      <w:r w:rsidR="00CD010E">
        <w:t>to allow for a repeatable deployment model.</w:t>
      </w:r>
    </w:p>
    <w:p w14:paraId="1802A970" w14:textId="77777777" w:rsidR="00653A37" w:rsidRDefault="00653A37" w:rsidP="002820D9">
      <w:pPr>
        <w:pStyle w:val="Heading2"/>
      </w:pPr>
      <w:bookmarkStart w:id="4" w:name="_Toc216778012"/>
      <w:bookmarkStart w:id="5" w:name="_Toc18916413"/>
      <w:r>
        <w:t>Purpose</w:t>
      </w:r>
      <w:bookmarkEnd w:id="4"/>
      <w:bookmarkEnd w:id="5"/>
    </w:p>
    <w:p w14:paraId="392AF10C" w14:textId="152CE562" w:rsidR="00653A37" w:rsidRPr="009B642D" w:rsidRDefault="00396CB1" w:rsidP="009B642D">
      <w:pPr>
        <w:pStyle w:val="BodyText1"/>
      </w:pPr>
      <w:r w:rsidRPr="009B642D">
        <w:t xml:space="preserve">This guideline provides information and advice for Queensland Government departments to consider when implementing the policy requirements of the </w:t>
      </w:r>
      <w:r w:rsidRPr="009B642D">
        <w:rPr>
          <w:bCs/>
        </w:rPr>
        <w:t xml:space="preserve">Queensland Government Enterprise Architecture, </w:t>
      </w:r>
      <w:hyperlink r:id="rId18" w:history="1">
        <w:r w:rsidRPr="00DB239D">
          <w:rPr>
            <w:rStyle w:val="Hyperlink"/>
          </w:rPr>
          <w:t>Collaborative workspace policy</w:t>
        </w:r>
      </w:hyperlink>
      <w:r w:rsidRPr="009B642D">
        <w:t xml:space="preserve">. These guidelines </w:t>
      </w:r>
      <w:r w:rsidR="0009304D">
        <w:t>assist in complying with</w:t>
      </w:r>
      <w:r w:rsidRPr="009B642D">
        <w:t xml:space="preserve"> mandatory component</w:t>
      </w:r>
      <w:r w:rsidR="0009304D">
        <w:t>s</w:t>
      </w:r>
      <w:r w:rsidRPr="009B642D">
        <w:t xml:space="preserve"> of the policy and are for information only. While some information communicates other mandatory obligations, which may be relevant in the context of the policy (e.g. compliance to other policies), departments are strongly recommended to further investigate these obligations in light of their own business requirements, and seek expert advice where necessary.</w:t>
      </w:r>
    </w:p>
    <w:p w14:paraId="3F6E3E83" w14:textId="77777777" w:rsidR="00653A37" w:rsidRDefault="00653A37" w:rsidP="002820D9">
      <w:pPr>
        <w:pStyle w:val="Heading2"/>
      </w:pPr>
      <w:bookmarkStart w:id="6" w:name="_Toc216778013"/>
      <w:bookmarkStart w:id="7" w:name="_Toc18916414"/>
      <w:r>
        <w:t>Audience</w:t>
      </w:r>
      <w:bookmarkEnd w:id="6"/>
      <w:bookmarkEnd w:id="7"/>
    </w:p>
    <w:p w14:paraId="036109AD" w14:textId="77777777" w:rsidR="00CD010E" w:rsidRDefault="00653A37" w:rsidP="006A7B9C">
      <w:r>
        <w:t>This document is primarily intended for</w:t>
      </w:r>
      <w:r w:rsidR="00A33C4B" w:rsidRPr="00A33C4B">
        <w:t xml:space="preserve"> </w:t>
      </w:r>
      <w:r w:rsidR="00396CB1">
        <w:t xml:space="preserve">solution architects of </w:t>
      </w:r>
      <w:r w:rsidR="00A33C4B" w:rsidRPr="007D62C7">
        <w:t>all Queensland Government departments</w:t>
      </w:r>
      <w:r w:rsidR="00A33C4B" w:rsidRPr="008171FE">
        <w:t xml:space="preserve"> and internal Queensland Government ICT service providers</w:t>
      </w:r>
      <w:r w:rsidR="00A33C4B" w:rsidRPr="007D62C7">
        <w:t>.</w:t>
      </w:r>
    </w:p>
    <w:p w14:paraId="3CBCDC68" w14:textId="3FC8BF16" w:rsidR="00653A37" w:rsidRDefault="006A7B9C" w:rsidP="00237E7E">
      <w:r>
        <w:t xml:space="preserve">The intent is to supply the </w:t>
      </w:r>
      <w:r w:rsidR="00A3281A">
        <w:t xml:space="preserve">agency chief information officers </w:t>
      </w:r>
      <w:r>
        <w:t xml:space="preserve">(CIOs) with information of where the </w:t>
      </w:r>
      <w:r w:rsidR="00A3281A">
        <w:t xml:space="preserve">wired </w:t>
      </w:r>
      <w:r w:rsidR="00CD010E">
        <w:t>and wireless network (</w:t>
      </w:r>
      <w:r>
        <w:t>WWN</w:t>
      </w:r>
      <w:r w:rsidR="00CD010E">
        <w:t>) service will interface with a</w:t>
      </w:r>
      <w:r>
        <w:t>gency production environments and to give certainty</w:t>
      </w:r>
      <w:r w:rsidR="00CD010E">
        <w:t xml:space="preserve"> of what is being asked of the a</w:t>
      </w:r>
      <w:r>
        <w:t xml:space="preserve">gency from a design and integration perspective.  It is also designed to give the relevant </w:t>
      </w:r>
      <w:r w:rsidR="00A3281A">
        <w:t xml:space="preserve">technical subject matter experts </w:t>
      </w:r>
      <w:r>
        <w:t>(SMEs) the necessary high level information to complete all the required steps to integrate the agencies ICT systems with the buildings ICT core infrastructure.</w:t>
      </w:r>
    </w:p>
    <w:p w14:paraId="34606237" w14:textId="77777777" w:rsidR="002F2258" w:rsidRDefault="00653A37" w:rsidP="001C5820">
      <w:pPr>
        <w:pStyle w:val="Heading2"/>
      </w:pPr>
      <w:bookmarkStart w:id="8" w:name="_Toc216778014"/>
      <w:bookmarkStart w:id="9" w:name="_Toc18916415"/>
      <w:r>
        <w:t>Scope</w:t>
      </w:r>
      <w:bookmarkStart w:id="10" w:name="_Toc216778015"/>
      <w:bookmarkEnd w:id="8"/>
      <w:bookmarkEnd w:id="9"/>
    </w:p>
    <w:p w14:paraId="70A4A90D" w14:textId="77777777" w:rsidR="0009304D" w:rsidRPr="0009304D" w:rsidRDefault="0009304D" w:rsidP="0009304D">
      <w:r w:rsidRPr="0009304D">
        <w:t xml:space="preserve">This document provides an overview of the </w:t>
      </w:r>
      <w:r w:rsidR="001057ED" w:rsidRPr="00907B20">
        <w:t xml:space="preserve">WWN </w:t>
      </w:r>
      <w:r w:rsidR="001057ED">
        <w:t>service</w:t>
      </w:r>
      <w:r w:rsidRPr="0009304D">
        <w:t xml:space="preserve"> that </w:t>
      </w:r>
      <w:r w:rsidR="001057ED">
        <w:t>is</w:t>
      </w:r>
      <w:r w:rsidRPr="0009304D">
        <w:t xml:space="preserve"> available to agencies and what underpinning technologies are used to provide the service. </w:t>
      </w:r>
      <w:r w:rsidR="001057ED">
        <w:t>Additional information can be obtained from the integrator</w:t>
      </w:r>
      <w:r w:rsidRPr="0009304D">
        <w:t xml:space="preserve"> </w:t>
      </w:r>
      <w:r w:rsidR="00CD010E">
        <w:t xml:space="preserve">or the </w:t>
      </w:r>
      <w:r w:rsidR="00A3281A">
        <w:t>One William Street (</w:t>
      </w:r>
      <w:r w:rsidR="00CD010E">
        <w:t>1WS</w:t>
      </w:r>
      <w:r w:rsidR="00A3281A">
        <w:t>)</w:t>
      </w:r>
      <w:r w:rsidR="00CD010E">
        <w:t xml:space="preserve"> Contract Directorate </w:t>
      </w:r>
      <w:r w:rsidR="001057ED">
        <w:t>(</w:t>
      </w:r>
      <w:r w:rsidR="00CD010E">
        <w:t>Agency Integration Service (</w:t>
      </w:r>
      <w:r w:rsidR="001057ED">
        <w:t>AIS</w:t>
      </w:r>
      <w:r w:rsidR="00CD010E">
        <w:t>)</w:t>
      </w:r>
      <w:r w:rsidR="001057ED">
        <w:t xml:space="preserve"> Supporting Services and</w:t>
      </w:r>
      <w:r w:rsidR="00237E7E">
        <w:t xml:space="preserve"> A</w:t>
      </w:r>
      <w:r w:rsidRPr="0009304D">
        <w:t>gency AIS Configuration Spreadsheet</w:t>
      </w:r>
      <w:r w:rsidR="001057ED">
        <w:t>)</w:t>
      </w:r>
      <w:r w:rsidRPr="0009304D">
        <w:t xml:space="preserve"> to provide clarity around what is being requested of agencies to configure their infrastructure to use these services.</w:t>
      </w:r>
    </w:p>
    <w:p w14:paraId="0AA194AD" w14:textId="77777777" w:rsidR="00DB239D" w:rsidRDefault="00DB239D">
      <w:pPr>
        <w:spacing w:before="0" w:line="240" w:lineRule="auto"/>
        <w:ind w:left="0"/>
      </w:pPr>
      <w:r>
        <w:br w:type="page"/>
      </w:r>
    </w:p>
    <w:p w14:paraId="77F64617" w14:textId="2F66824D" w:rsidR="00B76A1B" w:rsidRPr="00B76A1B" w:rsidRDefault="00BC29DC" w:rsidP="00B76A1B">
      <w:r>
        <w:lastRenderedPageBreak/>
        <w:t>Agencies contracting the WWN services under I</w:t>
      </w:r>
      <w:r w:rsidR="00A3281A">
        <w:t>C</w:t>
      </w:r>
      <w:r>
        <w:t xml:space="preserve">TSS.1405A </w:t>
      </w:r>
      <w:r w:rsidR="00B76A1B">
        <w:t xml:space="preserve">will </w:t>
      </w:r>
      <w:r>
        <w:t xml:space="preserve">be provisioned with </w:t>
      </w:r>
      <w:r w:rsidR="00B76A1B">
        <w:t xml:space="preserve">an end-to-end service model </w:t>
      </w:r>
      <w:r w:rsidR="00A3281A">
        <w:t xml:space="preserve">using </w:t>
      </w:r>
      <w:r w:rsidR="00B76A1B">
        <w:t>proven ICT technologies and service providers. The expected benefits of establishing common ICT services and using a consumption-based service model include:</w:t>
      </w:r>
    </w:p>
    <w:p w14:paraId="3DEBCFA0" w14:textId="77777777" w:rsidR="00B76A1B" w:rsidRDefault="00A3281A" w:rsidP="00B76A1B">
      <w:pPr>
        <w:pStyle w:val="ListParagraph"/>
        <w:numPr>
          <w:ilvl w:val="0"/>
          <w:numId w:val="34"/>
        </w:numPr>
      </w:pPr>
      <w:r>
        <w:t xml:space="preserve">providing </w:t>
      </w:r>
      <w:r w:rsidR="00B76A1B">
        <w:t>the benefits of common technologies to agencies without the need to invest in the infrastructure or take on the risk of owning and operating the infrastructure</w:t>
      </w:r>
    </w:p>
    <w:p w14:paraId="1A88FCED" w14:textId="77777777" w:rsidR="00B76A1B" w:rsidRDefault="00A3281A" w:rsidP="00B76A1B">
      <w:pPr>
        <w:pStyle w:val="ListParagraph"/>
        <w:numPr>
          <w:ilvl w:val="0"/>
          <w:numId w:val="34"/>
        </w:numPr>
      </w:pPr>
      <w:r>
        <w:t xml:space="preserve">providing </w:t>
      </w:r>
      <w:r w:rsidR="00B76A1B">
        <w:t>a utility reporting and billing model, enabling agencies to scale costs up and down according to need without being constrained by assets</w:t>
      </w:r>
    </w:p>
    <w:p w14:paraId="145BD4BC" w14:textId="77777777" w:rsidR="00B76A1B" w:rsidRDefault="00A3281A" w:rsidP="00B76A1B">
      <w:pPr>
        <w:pStyle w:val="ListParagraph"/>
        <w:numPr>
          <w:ilvl w:val="0"/>
          <w:numId w:val="34"/>
        </w:numPr>
      </w:pPr>
      <w:r>
        <w:t xml:space="preserve">increasing </w:t>
      </w:r>
      <w:r w:rsidR="00B76A1B">
        <w:t>standardisation of IT infrastructure across government and reduce duplication</w:t>
      </w:r>
    </w:p>
    <w:p w14:paraId="21FCF276" w14:textId="77777777" w:rsidR="00B76A1B" w:rsidRDefault="00A3281A" w:rsidP="00B76A1B">
      <w:pPr>
        <w:pStyle w:val="ListParagraph"/>
        <w:numPr>
          <w:ilvl w:val="0"/>
          <w:numId w:val="34"/>
        </w:numPr>
      </w:pPr>
      <w:r>
        <w:t xml:space="preserve">resulting </w:t>
      </w:r>
      <w:r w:rsidR="00B76A1B">
        <w:t>in a single procurement proce</w:t>
      </w:r>
      <w:r w:rsidR="00237E7E">
        <w:t>ss rather than each individual a</w:t>
      </w:r>
      <w:r w:rsidR="00B76A1B">
        <w:t>gency undertaking their own process</w:t>
      </w:r>
    </w:p>
    <w:p w14:paraId="762FA3E7" w14:textId="1DC200BB" w:rsidR="00B76A1B" w:rsidRDefault="00A3281A" w:rsidP="00A3281A">
      <w:pPr>
        <w:pStyle w:val="ListParagraph"/>
        <w:numPr>
          <w:ilvl w:val="0"/>
          <w:numId w:val="34"/>
        </w:numPr>
      </w:pPr>
      <w:r>
        <w:t xml:space="preserve">providing </w:t>
      </w:r>
      <w:r w:rsidR="00B76A1B">
        <w:t>a repeatable model for other multi-floor, multi-agency buildings.</w:t>
      </w:r>
    </w:p>
    <w:p w14:paraId="1CAFC649" w14:textId="77777777" w:rsidR="002F2258" w:rsidRPr="007D62C7" w:rsidRDefault="00396CB1" w:rsidP="002820D9">
      <w:pPr>
        <w:pStyle w:val="Heading1"/>
      </w:pPr>
      <w:bookmarkStart w:id="11" w:name="_Toc18916416"/>
      <w:r>
        <w:t>Mobility e</w:t>
      </w:r>
      <w:r w:rsidR="002820D9">
        <w:t>nablement</w:t>
      </w:r>
      <w:bookmarkEnd w:id="11"/>
    </w:p>
    <w:bookmarkEnd w:id="10"/>
    <w:p w14:paraId="1E56B19E" w14:textId="13D694BB" w:rsidR="00B76A1B" w:rsidRDefault="00B76A1B" w:rsidP="00B76A1B">
      <w:pPr>
        <w:pStyle w:val="BodyText1"/>
      </w:pPr>
      <w:r w:rsidRPr="00B76A1B">
        <w:t xml:space="preserve">These guidelines will ensure that the “anywhere, anytime and any device” connectivity outlined in the </w:t>
      </w:r>
      <w:hyperlink r:id="rId19" w:history="1">
        <w:r w:rsidRPr="00A3281A">
          <w:rPr>
            <w:rStyle w:val="Hyperlink"/>
          </w:rPr>
          <w:t>Collaborative workspace strategy</w:t>
        </w:r>
      </w:hyperlink>
      <w:r w:rsidRPr="00B76A1B">
        <w:t xml:space="preserve"> </w:t>
      </w:r>
      <w:r w:rsidR="00261FB8">
        <w:t>and principles</w:t>
      </w:r>
      <w:r w:rsidR="00CD1B79">
        <w:t xml:space="preserve"> </w:t>
      </w:r>
      <w:r w:rsidRPr="00B76A1B">
        <w:t>will deliver seamless and secure access to agency networks throughout government buildings without the need for agency intervention.</w:t>
      </w:r>
    </w:p>
    <w:p w14:paraId="7EE8BEBB" w14:textId="3BBD9456" w:rsidR="002820D9" w:rsidRPr="002820D9" w:rsidRDefault="001057ED" w:rsidP="009B642D">
      <w:pPr>
        <w:pStyle w:val="BodyText1"/>
      </w:pPr>
      <w:r>
        <w:t>The following guideline</w:t>
      </w:r>
      <w:r w:rsidR="00B76A1B">
        <w:t>s</w:t>
      </w:r>
      <w:r w:rsidR="002820D9" w:rsidRPr="00907B20">
        <w:t xml:space="preserve"> will assist agencies implement </w:t>
      </w:r>
      <w:r w:rsidR="00396CB1" w:rsidRPr="00907B20">
        <w:t>whole-of-</w:t>
      </w:r>
      <w:r w:rsidR="00A3281A">
        <w:t>g</w:t>
      </w:r>
      <w:r w:rsidR="002820D9" w:rsidRPr="00907B20">
        <w:t xml:space="preserve">overnment </w:t>
      </w:r>
      <w:r w:rsidR="00396CB1" w:rsidRPr="00907B20">
        <w:t>wired and wireless network mobility enablement for a</w:t>
      </w:r>
      <w:r w:rsidR="002820D9" w:rsidRPr="00907B20">
        <w:t xml:space="preserve">ll </w:t>
      </w:r>
      <w:r w:rsidR="00396CB1" w:rsidRPr="00907B20">
        <w:t>government tenanted b</w:t>
      </w:r>
      <w:r w:rsidR="002820D9" w:rsidRPr="00907B20">
        <w:t>uildings</w:t>
      </w:r>
      <w:r w:rsidR="00396CB1">
        <w:t>.</w:t>
      </w:r>
    </w:p>
    <w:p w14:paraId="41E9FEF3" w14:textId="77777777" w:rsidR="002820D9" w:rsidRPr="002820D9" w:rsidRDefault="002820D9" w:rsidP="002820D9">
      <w:pPr>
        <w:pStyle w:val="Heading2"/>
      </w:pPr>
      <w:bookmarkStart w:id="12" w:name="_Toc18916417"/>
      <w:r>
        <w:t xml:space="preserve">Key </w:t>
      </w:r>
      <w:r w:rsidR="00A3281A" w:rsidRPr="002820D9">
        <w:t>i</w:t>
      </w:r>
      <w:r w:rsidRPr="002820D9">
        <w:t>ssue</w:t>
      </w:r>
      <w:bookmarkEnd w:id="12"/>
    </w:p>
    <w:p w14:paraId="48E68339" w14:textId="765487A1" w:rsidR="002820D9" w:rsidRPr="00907B20" w:rsidRDefault="002820D9" w:rsidP="009B642D">
      <w:pPr>
        <w:pStyle w:val="BodyText1"/>
      </w:pPr>
      <w:r w:rsidRPr="00907B20">
        <w:t xml:space="preserve">To assist the Queensland Government to work more effectively the </w:t>
      </w:r>
      <w:hyperlink r:id="rId20" w:history="1">
        <w:r w:rsidRPr="000A303E">
          <w:rPr>
            <w:rStyle w:val="Hyperlink"/>
          </w:rPr>
          <w:t>Collaborative workspace strategy and principles</w:t>
        </w:r>
      </w:hyperlink>
      <w:r w:rsidRPr="00907B20">
        <w:t xml:space="preserve"> outlines a WWN architect</w:t>
      </w:r>
      <w:r w:rsidR="00907B20">
        <w:t>ural pattern</w:t>
      </w:r>
      <w:r w:rsidRPr="00907B20">
        <w:t xml:space="preserve"> that enables users from any agency the ability to connect either wired or wirelessly in any integrated building and be operational.</w:t>
      </w:r>
    </w:p>
    <w:p w14:paraId="4E44FE78" w14:textId="77777777" w:rsidR="002820D9" w:rsidRPr="002820D9" w:rsidRDefault="002820D9" w:rsidP="000A303E">
      <w:pPr>
        <w:pStyle w:val="BodyText1"/>
        <w:rPr>
          <w:rFonts w:ascii="Calibri" w:eastAsia="Calibri" w:hAnsi="Calibri"/>
          <w:b/>
          <w:szCs w:val="22"/>
          <w:u w:val="single"/>
        </w:rPr>
      </w:pPr>
      <w:r w:rsidRPr="00907B20">
        <w:t>Although 1WS has been configured to allow all Queensland Government agencies the ability to “plug in” and connect to their data centre applications and data</w:t>
      </w:r>
      <w:r w:rsidR="00907B20">
        <w:t>,</w:t>
      </w:r>
      <w:r w:rsidRPr="00907B20">
        <w:t xml:space="preserve"> unfortunately agency integration into subsequent buildings has not been performed.  The result being, agency staff other than the tenants of the subsequent buildings will only have Guest Wi-Fi services a</w:t>
      </w:r>
      <w:r w:rsidR="00396CB1" w:rsidRPr="00907B20">
        <w:t>vailable, therefore requiring</w:t>
      </w:r>
      <w:r w:rsidRPr="00907B20">
        <w:t xml:space="preserve"> agency supplied remote access facilities to access applications and data residing in their data centres.</w:t>
      </w:r>
    </w:p>
    <w:p w14:paraId="47E3167D" w14:textId="5421D394" w:rsidR="002820D9" w:rsidRDefault="00671A75" w:rsidP="00396CB1">
      <w:pPr>
        <w:pStyle w:val="Heading2"/>
      </w:pPr>
      <w:bookmarkStart w:id="13" w:name="_Toc18916418"/>
      <w:r>
        <w:t>I</w:t>
      </w:r>
      <w:r w:rsidR="00DB239D">
        <w:t>C</w:t>
      </w:r>
      <w:r>
        <w:t xml:space="preserve">TSS.1405A </w:t>
      </w:r>
      <w:r w:rsidR="002820D9" w:rsidRPr="002820D9">
        <w:t>Ag</w:t>
      </w:r>
      <w:r w:rsidR="002B5A78">
        <w:t xml:space="preserve">ency </w:t>
      </w:r>
      <w:r w:rsidR="00173B48">
        <w:t xml:space="preserve">Integration Service </w:t>
      </w:r>
      <w:r w:rsidR="00396CB1" w:rsidRPr="00396CB1">
        <w:t>guidelines</w:t>
      </w:r>
      <w:bookmarkEnd w:id="13"/>
    </w:p>
    <w:p w14:paraId="6DE28B87" w14:textId="77777777" w:rsidR="00396CB1" w:rsidRPr="00396CB1" w:rsidRDefault="008727D5" w:rsidP="00396CB1">
      <w:pPr>
        <w:pStyle w:val="BodyText"/>
      </w:pPr>
      <w:r>
        <w:t>Agencies contracting the WWN services under I</w:t>
      </w:r>
      <w:r w:rsidR="00A3281A">
        <w:t>C</w:t>
      </w:r>
      <w:r>
        <w:t xml:space="preserve">TSS.1405A should follow the following </w:t>
      </w:r>
      <w:r w:rsidRPr="00327C30">
        <w:t>Agency Integration Service (AIS)</w:t>
      </w:r>
      <w:r>
        <w:t xml:space="preserve"> requirements.</w:t>
      </w:r>
    </w:p>
    <w:p w14:paraId="270FBD3F" w14:textId="77777777" w:rsidR="0009304D" w:rsidRDefault="0009304D" w:rsidP="00327C30">
      <w:pPr>
        <w:pStyle w:val="Heading3"/>
      </w:pPr>
      <w:r>
        <w:t>Network Connectivity</w:t>
      </w:r>
    </w:p>
    <w:p w14:paraId="21DBCF76" w14:textId="77777777" w:rsidR="00132FE5" w:rsidRDefault="00132FE5" w:rsidP="00132FE5">
      <w:pPr>
        <w:pStyle w:val="BodyText"/>
      </w:pPr>
      <w:r>
        <w:t xml:space="preserve">There are number of core services that </w:t>
      </w:r>
      <w:r w:rsidR="001057ED">
        <w:t>the panel integrator</w:t>
      </w:r>
      <w:r>
        <w:t xml:space="preserve"> will provide to agencies to access their corporate network and base services. These are:</w:t>
      </w:r>
    </w:p>
    <w:p w14:paraId="08B2B6D7" w14:textId="77777777" w:rsidR="00132FE5" w:rsidRDefault="00132FE5" w:rsidP="006D54EA">
      <w:pPr>
        <w:pStyle w:val="BodyText"/>
        <w:numPr>
          <w:ilvl w:val="0"/>
          <w:numId w:val="26"/>
        </w:numPr>
      </w:pPr>
      <w:r>
        <w:t xml:space="preserve">Wired and Wireless Networking - the ability to connect to an agency network with admission control based on the use of digital certificates and Public Key Infrastructure. </w:t>
      </w:r>
    </w:p>
    <w:p w14:paraId="4B1D08D5" w14:textId="77777777" w:rsidR="00132FE5" w:rsidRPr="00132FE5" w:rsidRDefault="00132FE5" w:rsidP="006D54EA">
      <w:pPr>
        <w:pStyle w:val="BodyText"/>
        <w:numPr>
          <w:ilvl w:val="0"/>
          <w:numId w:val="26"/>
        </w:numPr>
      </w:pPr>
      <w:r>
        <w:t>Guest Wireless – providing Internet access only for Agency users and guests that do not have the need to connect to agency resources.</w:t>
      </w:r>
    </w:p>
    <w:p w14:paraId="33E8AC18" w14:textId="77777777" w:rsidR="0009304D" w:rsidRDefault="0009304D" w:rsidP="0009304D">
      <w:pPr>
        <w:pStyle w:val="BodyText"/>
      </w:pPr>
      <w:r>
        <w:lastRenderedPageBreak/>
        <w:t xml:space="preserve">The building network should </w:t>
      </w:r>
      <w:r w:rsidR="00CB10EF">
        <w:t>comprise</w:t>
      </w:r>
      <w:r>
        <w:t xml:space="preserve"> of multiple </w:t>
      </w:r>
      <w:r w:rsidR="00261FB8">
        <w:t>Virtual Route Forwarding (</w:t>
      </w:r>
      <w:r>
        <w:t>VRF’s</w:t>
      </w:r>
      <w:r w:rsidR="00261FB8">
        <w:t>) configurations</w:t>
      </w:r>
      <w:r>
        <w:t>. These VRF’s are created to segregate agency traffic from other agencies and from the shared services.</w:t>
      </w:r>
    </w:p>
    <w:p w14:paraId="001EF0F6" w14:textId="77777777" w:rsidR="0009304D" w:rsidRDefault="0009304D" w:rsidP="0009304D">
      <w:pPr>
        <w:pStyle w:val="BodyText"/>
      </w:pPr>
      <w:r>
        <w:t xml:space="preserve">The agency home network connects to the agency VRF over the </w:t>
      </w:r>
      <w:r w:rsidR="00EA5099">
        <w:t>Queensland Government Network (</w:t>
      </w:r>
      <w:r>
        <w:t>QGN</w:t>
      </w:r>
      <w:r w:rsidR="00EA5099">
        <w:t>)</w:t>
      </w:r>
      <w:r>
        <w:t>. This is shown below.</w:t>
      </w:r>
    </w:p>
    <w:p w14:paraId="3E0EB17C" w14:textId="77777777" w:rsidR="0009304D" w:rsidRPr="00EA5099" w:rsidRDefault="0009304D" w:rsidP="00EA5099"/>
    <w:p w14:paraId="54BBAAA7" w14:textId="77777777" w:rsidR="0009304D" w:rsidRPr="0009304D" w:rsidRDefault="0009304D" w:rsidP="0009304D">
      <w:pPr>
        <w:pStyle w:val="BodyText"/>
      </w:pPr>
      <w:r>
        <w:rPr>
          <w:noProof/>
        </w:rPr>
        <w:drawing>
          <wp:inline distT="0" distB="0" distL="0" distR="0" wp14:anchorId="495799E4" wp14:editId="40B790FA">
            <wp:extent cx="5404514" cy="2736851"/>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845" cy="2747653"/>
                    </a:xfrm>
                    <a:prstGeom prst="rect">
                      <a:avLst/>
                    </a:prstGeom>
                    <a:noFill/>
                    <a:ln>
                      <a:noFill/>
                    </a:ln>
                  </pic:spPr>
                </pic:pic>
              </a:graphicData>
            </a:graphic>
          </wp:inline>
        </w:drawing>
      </w:r>
    </w:p>
    <w:p w14:paraId="3E8EB145" w14:textId="77777777" w:rsidR="0009304D" w:rsidRDefault="0009304D" w:rsidP="00CF071B">
      <w:pPr>
        <w:pStyle w:val="Caption"/>
      </w:pPr>
      <w:bookmarkStart w:id="14" w:name="_Toc18916420"/>
      <w:r>
        <w:t xml:space="preserve">Figure </w:t>
      </w:r>
      <w:fldSimple w:instr=" SEQ Figure \* ARABIC ">
        <w:r w:rsidR="00191DD1">
          <w:rPr>
            <w:noProof/>
          </w:rPr>
          <w:t>1</w:t>
        </w:r>
      </w:fldSimple>
      <w:r w:rsidR="00CB10EF">
        <w:t xml:space="preserve"> – Agency to POP connectivity</w:t>
      </w:r>
      <w:bookmarkEnd w:id="14"/>
    </w:p>
    <w:p w14:paraId="03336D6D" w14:textId="77777777" w:rsidR="00CB10EF" w:rsidRDefault="00261FB8" w:rsidP="00CB10EF">
      <w:pPr>
        <w:pStyle w:val="BodyText"/>
      </w:pPr>
      <w:r>
        <w:t>Boarder Gateway Protocol (</w:t>
      </w:r>
      <w:r w:rsidR="00CB10EF">
        <w:t>BGP</w:t>
      </w:r>
      <w:r>
        <w:t>)</w:t>
      </w:r>
      <w:r w:rsidR="00CB10EF">
        <w:t xml:space="preserve"> is used to connect the POP to the QGN. For </w:t>
      </w:r>
      <w:r w:rsidR="00EA5099">
        <w:t>redundancy,</w:t>
      </w:r>
      <w:r w:rsidR="00CB10EF">
        <w:t xml:space="preserve"> there may be 2 connections to the QGN.</w:t>
      </w:r>
    </w:p>
    <w:p w14:paraId="66F99B67" w14:textId="77777777" w:rsidR="00CB10EF" w:rsidRDefault="00CB10EF" w:rsidP="00CB10EF">
      <w:pPr>
        <w:pStyle w:val="BodyText"/>
      </w:pPr>
      <w:r>
        <w:t>To configure these connections agencies (via CITEC) will provide 2 x /30 IPv4 subnets to be used for the point to point links as well as an ASN for the QGN network.</w:t>
      </w:r>
    </w:p>
    <w:p w14:paraId="10CBB017" w14:textId="50514390" w:rsidR="00CB10EF" w:rsidRDefault="00CB10EF" w:rsidP="00CB10EF">
      <w:pPr>
        <w:pStyle w:val="BodyText"/>
      </w:pPr>
      <w:r>
        <w:t xml:space="preserve">The POP network will utilise the same </w:t>
      </w:r>
      <w:r w:rsidR="005B011F" w:rsidRPr="005B011F">
        <w:t>autonomous system</w:t>
      </w:r>
      <w:r w:rsidR="005B011F">
        <w:t xml:space="preserve"> number (</w:t>
      </w:r>
      <w:r>
        <w:t>ASN</w:t>
      </w:r>
      <w:r w:rsidR="005B011F">
        <w:t>)</w:t>
      </w:r>
      <w:r>
        <w:t xml:space="preserve"> across all agency VRF’s within the building. </w:t>
      </w:r>
      <w:r w:rsidR="00EA5099">
        <w:t>A</w:t>
      </w:r>
      <w:r>
        <w:t>dditional building</w:t>
      </w:r>
      <w:r w:rsidR="00EA5099">
        <w:t>s</w:t>
      </w:r>
      <w:r>
        <w:t xml:space="preserve"> will contain </w:t>
      </w:r>
      <w:r w:rsidR="00EA5099">
        <w:t>additional</w:t>
      </w:r>
      <w:r>
        <w:t xml:space="preserve"> ASN</w:t>
      </w:r>
      <w:r w:rsidR="00EA5099">
        <w:t>’s.</w:t>
      </w:r>
    </w:p>
    <w:p w14:paraId="712F1B86" w14:textId="77777777" w:rsidR="002B0E30" w:rsidRDefault="002B0E30" w:rsidP="00CB10EF">
      <w:pPr>
        <w:pStyle w:val="BodyText"/>
      </w:pPr>
    </w:p>
    <w:p w14:paraId="373FD439" w14:textId="77777777" w:rsidR="002B0E30" w:rsidRPr="002820D9" w:rsidRDefault="002B0E30" w:rsidP="002B0E30">
      <w:pPr>
        <w:pStyle w:val="Heading3"/>
      </w:pPr>
      <w:r w:rsidRPr="002820D9">
        <w:t>Agency Firewalls, Building VLAN to Agency Network</w:t>
      </w:r>
    </w:p>
    <w:p w14:paraId="26BD61F4" w14:textId="77777777" w:rsidR="00CB10EF" w:rsidRPr="00CB10EF" w:rsidRDefault="002B0E30" w:rsidP="002B0E30">
      <w:pPr>
        <w:pStyle w:val="BodyText1"/>
      </w:pPr>
      <w:r w:rsidRPr="002820D9">
        <w:t xml:space="preserve">Agencies may or may not have firewalls positioned between any </w:t>
      </w:r>
      <w:r w:rsidR="00EA5099">
        <w:t>integrator</w:t>
      </w:r>
      <w:r w:rsidRPr="002820D9">
        <w:t xml:space="preserve"> provisioned building VLAN and the remainder of their network.  Any additional IP address range defined for buildings, both current and future, should be added </w:t>
      </w:r>
      <w:r w:rsidR="00EA5099">
        <w:t xml:space="preserve">by agencies </w:t>
      </w:r>
      <w:r w:rsidRPr="002820D9">
        <w:t>to existing firewall rules to ensure the ability for staff to roam from building to building and access all required applications and data.</w:t>
      </w:r>
    </w:p>
    <w:p w14:paraId="4A639FE9" w14:textId="77777777" w:rsidR="002820D9" w:rsidRPr="002820D9" w:rsidRDefault="002820D9" w:rsidP="00327C30">
      <w:pPr>
        <w:pStyle w:val="Heading3"/>
      </w:pPr>
      <w:r w:rsidRPr="002820D9">
        <w:t>IP Addressing:</w:t>
      </w:r>
    </w:p>
    <w:p w14:paraId="6AFA986A" w14:textId="77777777" w:rsidR="002820D9" w:rsidRPr="00327C30" w:rsidRDefault="00327C30" w:rsidP="009B642D">
      <w:pPr>
        <w:pStyle w:val="BodyText1"/>
      </w:pPr>
      <w:r w:rsidRPr="00327C30">
        <w:t>The integrator and/or agency will</w:t>
      </w:r>
      <w:r w:rsidR="002820D9" w:rsidRPr="00327C30">
        <w:t xml:space="preserve"> need to collect </w:t>
      </w:r>
      <w:r w:rsidR="008727D5">
        <w:t xml:space="preserve">AIS </w:t>
      </w:r>
      <w:r w:rsidR="002820D9" w:rsidRPr="00327C30">
        <w:t xml:space="preserve">information to integrate each agency into each building </w:t>
      </w:r>
      <w:r w:rsidRPr="00327C30">
        <w:t>complying to the collaborative workspace architectural pattern.</w:t>
      </w:r>
    </w:p>
    <w:p w14:paraId="2AB6147E" w14:textId="77777777" w:rsidR="002820D9" w:rsidRPr="00327C30" w:rsidRDefault="002820D9" w:rsidP="009B642D">
      <w:pPr>
        <w:pStyle w:val="BodyText1"/>
      </w:pPr>
      <w:r w:rsidRPr="00327C30">
        <w:t>For most agencies, this will include VLAN’s for Wired, Wireless and Voice.</w:t>
      </w:r>
    </w:p>
    <w:p w14:paraId="263CF486" w14:textId="77777777" w:rsidR="002820D9" w:rsidRPr="00327C30" w:rsidRDefault="002820D9" w:rsidP="009B642D">
      <w:pPr>
        <w:pStyle w:val="BodyText1"/>
      </w:pPr>
      <w:r w:rsidRPr="00327C30">
        <w:t>These only need to be small as it is for use by agency staff that are temporarily visiting the site. If an agency is permanently using a site, they should re-assign larger subnets that cater for the number of resident staff.</w:t>
      </w:r>
    </w:p>
    <w:p w14:paraId="0B7D8EDA" w14:textId="77777777" w:rsidR="002820D9" w:rsidRPr="00327C30" w:rsidRDefault="002820D9" w:rsidP="009B642D">
      <w:pPr>
        <w:pStyle w:val="BodyText1"/>
      </w:pPr>
      <w:r w:rsidRPr="00327C30">
        <w:lastRenderedPageBreak/>
        <w:t>As an exam</w:t>
      </w:r>
      <w:r w:rsidR="002B5A78">
        <w:t xml:space="preserve">ple, an agency could supply the ITSS.1405A panel integrator </w:t>
      </w:r>
      <w:r w:rsidRPr="00327C30">
        <w:t>a /25, broken up as follows:</w:t>
      </w:r>
    </w:p>
    <w:p w14:paraId="6ADDF053" w14:textId="77777777" w:rsidR="002820D9" w:rsidRPr="00327C30" w:rsidRDefault="002820D9" w:rsidP="006D54EA">
      <w:pPr>
        <w:pStyle w:val="BodyText1"/>
        <w:numPr>
          <w:ilvl w:val="0"/>
          <w:numId w:val="25"/>
        </w:numPr>
      </w:pPr>
      <w:r w:rsidRPr="00327C30">
        <w:t>/26 – Wireless – 64 devices</w:t>
      </w:r>
    </w:p>
    <w:p w14:paraId="5F5983A8" w14:textId="77777777" w:rsidR="002820D9" w:rsidRPr="00327C30" w:rsidRDefault="002820D9" w:rsidP="006D54EA">
      <w:pPr>
        <w:pStyle w:val="BodyText1"/>
        <w:numPr>
          <w:ilvl w:val="0"/>
          <w:numId w:val="25"/>
        </w:numPr>
      </w:pPr>
      <w:r w:rsidRPr="00327C30">
        <w:t>/27 – Wired – 32 devices</w:t>
      </w:r>
    </w:p>
    <w:p w14:paraId="081CA644" w14:textId="77777777" w:rsidR="002820D9" w:rsidRPr="00327C30" w:rsidRDefault="002820D9" w:rsidP="006D54EA">
      <w:pPr>
        <w:pStyle w:val="BodyText1"/>
        <w:numPr>
          <w:ilvl w:val="0"/>
          <w:numId w:val="25"/>
        </w:numPr>
      </w:pPr>
      <w:r w:rsidRPr="00327C30">
        <w:t>/27 – Voice – 32 devices</w:t>
      </w:r>
    </w:p>
    <w:p w14:paraId="4E233733" w14:textId="77777777" w:rsidR="00327C30" w:rsidRPr="002820D9" w:rsidRDefault="002820D9" w:rsidP="009B642D">
      <w:pPr>
        <w:pStyle w:val="BodyText1"/>
      </w:pPr>
      <w:r w:rsidRPr="00327C30">
        <w:t>However, each agency may have different policies that dictate what they assign.</w:t>
      </w:r>
    </w:p>
    <w:p w14:paraId="380977B8" w14:textId="77777777" w:rsidR="002820D9" w:rsidRDefault="009B642D" w:rsidP="009B642D">
      <w:pPr>
        <w:pStyle w:val="BodyText1"/>
      </w:pPr>
      <w:r>
        <w:t xml:space="preserve">NB: </w:t>
      </w:r>
      <w:r w:rsidR="002820D9" w:rsidRPr="00327C30">
        <w:t xml:space="preserve">It would be preferable to collect this information for 10 buildings up front, so agencies are not constantly being requested to provide this information.  Additional Tabs of the AIS spreadsheet on the </w:t>
      </w:r>
      <w:r w:rsidR="00907B20">
        <w:t>Dimension Data Australia (</w:t>
      </w:r>
      <w:r w:rsidR="002820D9" w:rsidRPr="00327C30">
        <w:t>DDA</w:t>
      </w:r>
      <w:r w:rsidR="00907B20">
        <w:t>)</w:t>
      </w:r>
      <w:r w:rsidR="002820D9" w:rsidRPr="00327C30">
        <w:t xml:space="preserve"> FTP site can be leveraged to define additional IP address ranges.</w:t>
      </w:r>
    </w:p>
    <w:p w14:paraId="5E429FAA" w14:textId="77777777" w:rsidR="002D4049" w:rsidRPr="00327C30" w:rsidRDefault="002D4049" w:rsidP="009B642D">
      <w:pPr>
        <w:pStyle w:val="BodyText1"/>
      </w:pPr>
    </w:p>
    <w:p w14:paraId="3CF42416" w14:textId="77777777" w:rsidR="002820D9" w:rsidRPr="002820D9" w:rsidRDefault="002820D9" w:rsidP="0009304D">
      <w:pPr>
        <w:spacing w:before="0" w:after="160" w:line="256" w:lineRule="auto"/>
        <w:rPr>
          <w:rFonts w:ascii="Calibri" w:eastAsia="Calibri" w:hAnsi="Calibri"/>
          <w:i/>
          <w:szCs w:val="22"/>
        </w:rPr>
      </w:pPr>
      <w:r w:rsidRPr="002820D9">
        <w:rPr>
          <w:rFonts w:eastAsia="Calibri" w:cs="Arial"/>
          <w:noProof/>
          <w:szCs w:val="22"/>
          <w:lang w:eastAsia="en-AU"/>
        </w:rPr>
        <w:drawing>
          <wp:inline distT="0" distB="0" distL="0" distR="0" wp14:anchorId="5D4195CB" wp14:editId="381C77D2">
            <wp:extent cx="5534168" cy="2027583"/>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3987" cy="2045836"/>
                    </a:xfrm>
                    <a:prstGeom prst="rect">
                      <a:avLst/>
                    </a:prstGeom>
                    <a:noFill/>
                    <a:ln>
                      <a:noFill/>
                    </a:ln>
                  </pic:spPr>
                </pic:pic>
              </a:graphicData>
            </a:graphic>
          </wp:inline>
        </w:drawing>
      </w:r>
    </w:p>
    <w:p w14:paraId="7D1925F9" w14:textId="77777777" w:rsidR="002820D9" w:rsidRPr="002820D9" w:rsidRDefault="002B5A78" w:rsidP="00CF071B">
      <w:pPr>
        <w:pStyle w:val="Caption"/>
        <w:rPr>
          <w:rFonts w:ascii="Calibri" w:eastAsia="Calibri" w:hAnsi="Calibri"/>
          <w:szCs w:val="22"/>
        </w:rPr>
      </w:pPr>
      <w:bookmarkStart w:id="15" w:name="_Toc18916436"/>
      <w:r>
        <w:t xml:space="preserve">Table </w:t>
      </w:r>
      <w:fldSimple w:instr=" SEQ Table \* ARABIC ">
        <w:r w:rsidR="00191DD1">
          <w:rPr>
            <w:noProof/>
          </w:rPr>
          <w:t>1</w:t>
        </w:r>
      </w:fldSimple>
      <w:r>
        <w:t xml:space="preserve"> – Example of the 1WS, AIS spreadsheet</w:t>
      </w:r>
      <w:bookmarkEnd w:id="15"/>
    </w:p>
    <w:p w14:paraId="48D2B452" w14:textId="77777777" w:rsidR="005B011F" w:rsidRDefault="005B011F" w:rsidP="00327C30">
      <w:pPr>
        <w:pStyle w:val="Heading3"/>
      </w:pPr>
      <w:r>
        <w:t>Wi-Fi Service Set Identifier (SSID)</w:t>
      </w:r>
    </w:p>
    <w:p w14:paraId="565C9929" w14:textId="77777777" w:rsidR="005B011F" w:rsidRDefault="005B011F" w:rsidP="00CF41CD">
      <w:pPr>
        <w:pStyle w:val="BodyText"/>
      </w:pPr>
      <w:r w:rsidRPr="005B011F">
        <w:t>The SSID differentiates one WLAN from another, so all access points and all devices attempting to connect to a specific WLAN must use the same SSID to enable effective roaming. As part of the association process, a wireless network interface card (NIC) must have the same SSID as the access point or it will not be permitted to join the</w:t>
      </w:r>
      <w:r>
        <w:t xml:space="preserve"> network.</w:t>
      </w:r>
    </w:p>
    <w:p w14:paraId="396C9EE6" w14:textId="77777777" w:rsidR="005B011F" w:rsidRDefault="005B011F" w:rsidP="00CF41CD">
      <w:pPr>
        <w:pStyle w:val="BodyText"/>
      </w:pPr>
      <w:r>
        <w:t>In order to provide a consistent naming standard across government agencies should use the following service set identifiers</w:t>
      </w:r>
      <w:r w:rsidR="00274FB7">
        <w:t>:</w:t>
      </w:r>
    </w:p>
    <w:p w14:paraId="1718B1B4" w14:textId="77777777" w:rsidR="005B011F" w:rsidRDefault="005B011F" w:rsidP="00CF41CD">
      <w:pPr>
        <w:pStyle w:val="BodyText"/>
        <w:numPr>
          <w:ilvl w:val="0"/>
          <w:numId w:val="35"/>
        </w:numPr>
      </w:pPr>
      <w:r>
        <w:t>QGov-Corp (connectivity to agency corporate networks from managed devices)</w:t>
      </w:r>
    </w:p>
    <w:p w14:paraId="2965F932" w14:textId="77777777" w:rsidR="005B011F" w:rsidRDefault="005B011F" w:rsidP="00CF41CD">
      <w:pPr>
        <w:pStyle w:val="BodyText"/>
        <w:numPr>
          <w:ilvl w:val="0"/>
          <w:numId w:val="35"/>
        </w:numPr>
      </w:pPr>
      <w:r>
        <w:t xml:space="preserve">QGov-CorpGuest (connectivity to </w:t>
      </w:r>
      <w:r w:rsidR="00274FB7">
        <w:t>filtered guest internet for users with a government identity)</w:t>
      </w:r>
    </w:p>
    <w:p w14:paraId="4815AC7C" w14:textId="77777777" w:rsidR="005B011F" w:rsidRPr="005B011F" w:rsidRDefault="005B011F" w:rsidP="00CF41CD">
      <w:pPr>
        <w:pStyle w:val="BodyText"/>
        <w:numPr>
          <w:ilvl w:val="0"/>
          <w:numId w:val="35"/>
        </w:numPr>
      </w:pPr>
      <w:r>
        <w:t>QGov-Guest</w:t>
      </w:r>
      <w:r w:rsidR="00274FB7">
        <w:t xml:space="preserve"> (connectivity to filtered guest internet for users without a government identity.</w:t>
      </w:r>
    </w:p>
    <w:p w14:paraId="0286E92B" w14:textId="77777777" w:rsidR="00132FE5" w:rsidRDefault="00132FE5" w:rsidP="00327C30">
      <w:pPr>
        <w:pStyle w:val="Heading3"/>
      </w:pPr>
      <w:r>
        <w:t>Certificate Revocation Lists (CRL)</w:t>
      </w:r>
    </w:p>
    <w:p w14:paraId="0CABBB1D" w14:textId="77777777" w:rsidR="00132FE5" w:rsidRDefault="00132FE5" w:rsidP="00D76140">
      <w:pPr>
        <w:pStyle w:val="BodyText"/>
      </w:pPr>
      <w:r>
        <w:t>U</w:t>
      </w:r>
      <w:r w:rsidRPr="00132FE5">
        <w:t xml:space="preserve">sers connecting to </w:t>
      </w:r>
      <w:r>
        <w:t xml:space="preserve">wired and wireless </w:t>
      </w:r>
      <w:r w:rsidRPr="00132FE5">
        <w:t xml:space="preserve">infrastructure in </w:t>
      </w:r>
      <w:r>
        <w:t>a building will</w:t>
      </w:r>
      <w:r w:rsidRPr="00132FE5">
        <w:t xml:space="preserve"> require a digital certificate to identify the user and verify their authorisation to connect to the infrastructure.  If an agency has a certificate revocation service exposed on either GovNet or the public Internet, access is required from t</w:t>
      </w:r>
      <w:r w:rsidR="00EA5099">
        <w:t xml:space="preserve">he identity services to the CRL </w:t>
      </w:r>
      <w:r w:rsidRPr="00132FE5">
        <w:t>service to retrieve the list.</w:t>
      </w:r>
    </w:p>
    <w:p w14:paraId="33360C9F" w14:textId="77777777" w:rsidR="00F54BF4" w:rsidRDefault="00F54BF4" w:rsidP="00F54BF4">
      <w:pPr>
        <w:pStyle w:val="BodyText"/>
      </w:pPr>
      <w:r>
        <w:t>The following table describes the agency requirements for this service.</w:t>
      </w:r>
    </w:p>
    <w:p w14:paraId="3B8F0C5D" w14:textId="77777777" w:rsidR="00F54BF4" w:rsidRPr="00132FE5" w:rsidRDefault="00F54BF4" w:rsidP="00F54BF4">
      <w:pPr>
        <w:pStyle w:val="BodyText"/>
      </w:pPr>
      <w:r>
        <w:t xml:space="preserve">  </w:t>
      </w:r>
    </w:p>
    <w:tbl>
      <w:tblPr>
        <w:tblStyle w:val="Table-LowInk"/>
        <w:tblW w:w="8189" w:type="dxa"/>
        <w:tblLayout w:type="fixed"/>
        <w:tblLook w:val="04A0" w:firstRow="1" w:lastRow="0" w:firstColumn="1" w:lastColumn="0" w:noHBand="0" w:noVBand="1"/>
      </w:tblPr>
      <w:tblGrid>
        <w:gridCol w:w="1277"/>
        <w:gridCol w:w="1559"/>
        <w:gridCol w:w="2801"/>
        <w:gridCol w:w="2552"/>
      </w:tblGrid>
      <w:tr w:rsidR="00F54BF4" w:rsidRPr="00F54BF4" w14:paraId="1969C693" w14:textId="77777777" w:rsidTr="00CD1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79DA29DB" w14:textId="77777777" w:rsidR="00F54BF4" w:rsidRPr="00CD1B79" w:rsidRDefault="00F54BF4" w:rsidP="00F54BF4">
            <w:pPr>
              <w:keepNext/>
              <w:keepLines/>
              <w:spacing w:before="60" w:after="60" w:line="260" w:lineRule="atLeast"/>
              <w:ind w:left="0"/>
              <w:rPr>
                <w:rFonts w:cs="Arial"/>
                <w:b w:val="0"/>
                <w:spacing w:val="8"/>
                <w:sz w:val="16"/>
                <w:szCs w:val="16"/>
                <w:lang w:val="en-GB"/>
              </w:rPr>
            </w:pPr>
            <w:r w:rsidRPr="00CD1B79">
              <w:rPr>
                <w:rFonts w:cs="Arial"/>
                <w:spacing w:val="8"/>
                <w:sz w:val="16"/>
                <w:szCs w:val="16"/>
                <w:lang w:val="en-GB"/>
              </w:rPr>
              <w:lastRenderedPageBreak/>
              <w:t>Service</w:t>
            </w:r>
          </w:p>
        </w:tc>
        <w:tc>
          <w:tcPr>
            <w:tcW w:w="1559" w:type="dxa"/>
          </w:tcPr>
          <w:p w14:paraId="4184A574" w14:textId="77777777" w:rsidR="00F54BF4" w:rsidRPr="00CD1B79" w:rsidRDefault="00F54BF4" w:rsidP="00F54BF4">
            <w:pPr>
              <w:keepNext/>
              <w:keepLines/>
              <w:spacing w:before="60" w:after="60" w:line="260" w:lineRule="atLeast"/>
              <w:ind w:left="0"/>
              <w:cnfStyle w:val="100000000000" w:firstRow="1" w:lastRow="0" w:firstColumn="0" w:lastColumn="0" w:oddVBand="0" w:evenVBand="0" w:oddHBand="0" w:evenHBand="0" w:firstRowFirstColumn="0" w:firstRowLastColumn="0" w:lastRowFirstColumn="0" w:lastRowLastColumn="0"/>
              <w:rPr>
                <w:rFonts w:cs="Arial"/>
                <w:b w:val="0"/>
                <w:spacing w:val="8"/>
                <w:sz w:val="16"/>
                <w:szCs w:val="16"/>
                <w:lang w:val="en-GB"/>
              </w:rPr>
            </w:pPr>
            <w:r w:rsidRPr="00CD1B79">
              <w:rPr>
                <w:rFonts w:cs="Arial"/>
                <w:spacing w:val="8"/>
                <w:sz w:val="16"/>
                <w:szCs w:val="16"/>
                <w:lang w:val="en-GB"/>
              </w:rPr>
              <w:t>Service Dependency</w:t>
            </w:r>
          </w:p>
        </w:tc>
        <w:tc>
          <w:tcPr>
            <w:tcW w:w="2801" w:type="dxa"/>
          </w:tcPr>
          <w:p w14:paraId="18CC2664" w14:textId="77777777" w:rsidR="00F54BF4" w:rsidRPr="00CD1B79" w:rsidRDefault="00F54BF4" w:rsidP="00F54BF4">
            <w:pPr>
              <w:keepNext/>
              <w:keepLines/>
              <w:spacing w:before="60" w:after="60" w:line="260" w:lineRule="atLeast"/>
              <w:ind w:left="0"/>
              <w:cnfStyle w:val="100000000000" w:firstRow="1" w:lastRow="0" w:firstColumn="0" w:lastColumn="0" w:oddVBand="0" w:evenVBand="0" w:oddHBand="0" w:evenHBand="0" w:firstRowFirstColumn="0" w:firstRowLastColumn="0" w:lastRowFirstColumn="0" w:lastRowLastColumn="0"/>
              <w:rPr>
                <w:rFonts w:cs="Arial"/>
                <w:b w:val="0"/>
                <w:spacing w:val="8"/>
                <w:sz w:val="16"/>
                <w:szCs w:val="16"/>
                <w:lang w:val="en-GB"/>
              </w:rPr>
            </w:pPr>
            <w:r w:rsidRPr="00CD1B79">
              <w:rPr>
                <w:rFonts w:cs="Arial"/>
                <w:spacing w:val="8"/>
                <w:sz w:val="16"/>
                <w:szCs w:val="16"/>
                <w:lang w:val="en-GB"/>
              </w:rPr>
              <w:t>Information and Configuration Required from Agency</w:t>
            </w:r>
          </w:p>
        </w:tc>
        <w:tc>
          <w:tcPr>
            <w:tcW w:w="2552" w:type="dxa"/>
          </w:tcPr>
          <w:p w14:paraId="6AE9763C" w14:textId="77777777" w:rsidR="00F54BF4" w:rsidRPr="00CD1B79" w:rsidRDefault="00F54BF4" w:rsidP="00F54BF4">
            <w:pPr>
              <w:keepNext/>
              <w:keepLines/>
              <w:spacing w:before="60" w:after="60" w:line="260" w:lineRule="atLeast"/>
              <w:ind w:left="0"/>
              <w:cnfStyle w:val="100000000000" w:firstRow="1" w:lastRow="0" w:firstColumn="0" w:lastColumn="0" w:oddVBand="0" w:evenVBand="0" w:oddHBand="0" w:evenHBand="0" w:firstRowFirstColumn="0" w:firstRowLastColumn="0" w:lastRowFirstColumn="0" w:lastRowLastColumn="0"/>
              <w:rPr>
                <w:rFonts w:cs="Arial"/>
                <w:b w:val="0"/>
                <w:spacing w:val="8"/>
                <w:sz w:val="16"/>
                <w:szCs w:val="16"/>
                <w:lang w:val="en-GB"/>
              </w:rPr>
            </w:pPr>
            <w:r w:rsidRPr="00CD1B79">
              <w:rPr>
                <w:rFonts w:cs="Arial"/>
                <w:spacing w:val="8"/>
                <w:sz w:val="16"/>
                <w:szCs w:val="16"/>
                <w:lang w:val="en-GB"/>
              </w:rPr>
              <w:t xml:space="preserve">Information and Configuration Provided by </w:t>
            </w:r>
            <w:r w:rsidR="00CF071B" w:rsidRPr="00CD1B79">
              <w:rPr>
                <w:rFonts w:cs="Arial"/>
                <w:spacing w:val="8"/>
                <w:sz w:val="16"/>
                <w:szCs w:val="16"/>
                <w:lang w:val="en-GB"/>
              </w:rPr>
              <w:t>the integrator</w:t>
            </w:r>
            <w:r w:rsidRPr="00CD1B79">
              <w:rPr>
                <w:rFonts w:cs="Arial"/>
                <w:spacing w:val="8"/>
                <w:sz w:val="16"/>
                <w:szCs w:val="16"/>
                <w:lang w:val="en-GB"/>
              </w:rPr>
              <w:t xml:space="preserve"> to Agency</w:t>
            </w:r>
          </w:p>
        </w:tc>
      </w:tr>
      <w:tr w:rsidR="00F54BF4" w:rsidRPr="00F54BF4" w14:paraId="3D211AFA" w14:textId="77777777" w:rsidTr="00CD1B79">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277" w:type="dxa"/>
          </w:tcPr>
          <w:p w14:paraId="09F3A2BD" w14:textId="77777777" w:rsidR="00F54BF4" w:rsidRPr="00C17ED0" w:rsidRDefault="00F54BF4" w:rsidP="00F54BF4">
            <w:pPr>
              <w:spacing w:before="60" w:after="60" w:line="260" w:lineRule="atLeast"/>
              <w:ind w:left="0"/>
              <w:rPr>
                <w:rFonts w:cs="Arial"/>
                <w:color w:val="6D6E71"/>
                <w:spacing w:val="8"/>
                <w:sz w:val="16"/>
                <w:szCs w:val="16"/>
                <w:lang w:val="en-GB"/>
              </w:rPr>
            </w:pPr>
            <w:r w:rsidRPr="00C17ED0">
              <w:rPr>
                <w:rFonts w:cs="Arial"/>
                <w:color w:val="6D6E71"/>
                <w:spacing w:val="8"/>
                <w:sz w:val="16"/>
                <w:szCs w:val="16"/>
                <w:lang w:val="en-GB"/>
              </w:rPr>
              <w:t>CRL</w:t>
            </w:r>
          </w:p>
        </w:tc>
        <w:tc>
          <w:tcPr>
            <w:tcW w:w="1559" w:type="dxa"/>
          </w:tcPr>
          <w:p w14:paraId="62B6DC03" w14:textId="77777777" w:rsidR="00F54BF4" w:rsidRPr="00C17ED0" w:rsidRDefault="00F54BF4" w:rsidP="00F54BF4">
            <w:pPr>
              <w:spacing w:before="60" w:after="60" w:line="260" w:lineRule="atLeast"/>
              <w:ind w:left="0"/>
              <w:cnfStyle w:val="000000000000" w:firstRow="0" w:lastRow="0" w:firstColumn="0" w:lastColumn="0" w:oddVBand="0" w:evenVBand="0" w:oddHBand="0" w:evenHBand="0" w:firstRowFirstColumn="0" w:firstRowLastColumn="0" w:lastRowFirstColumn="0" w:lastRowLastColumn="0"/>
              <w:rPr>
                <w:rFonts w:cs="Arial"/>
                <w:color w:val="6D6E71"/>
                <w:spacing w:val="8"/>
                <w:sz w:val="16"/>
                <w:szCs w:val="16"/>
                <w:lang w:val="en-GB"/>
              </w:rPr>
            </w:pPr>
            <w:r w:rsidRPr="00C17ED0">
              <w:rPr>
                <w:rFonts w:cs="Arial"/>
                <w:color w:val="6D6E71"/>
                <w:spacing w:val="8"/>
                <w:sz w:val="16"/>
                <w:szCs w:val="16"/>
                <w:lang w:val="en-GB"/>
              </w:rPr>
              <w:t>DNS</w:t>
            </w:r>
          </w:p>
          <w:p w14:paraId="1C235781" w14:textId="77777777" w:rsidR="00F54BF4" w:rsidRPr="00C17ED0" w:rsidRDefault="00F54BF4" w:rsidP="00F54BF4">
            <w:pPr>
              <w:spacing w:before="60" w:after="60" w:line="260" w:lineRule="atLeast"/>
              <w:ind w:left="0"/>
              <w:cnfStyle w:val="000000000000" w:firstRow="0" w:lastRow="0" w:firstColumn="0" w:lastColumn="0" w:oddVBand="0" w:evenVBand="0" w:oddHBand="0" w:evenHBand="0" w:firstRowFirstColumn="0" w:firstRowLastColumn="0" w:lastRowFirstColumn="0" w:lastRowLastColumn="0"/>
              <w:rPr>
                <w:rFonts w:cs="Arial"/>
                <w:color w:val="6D6E71"/>
                <w:spacing w:val="8"/>
                <w:sz w:val="16"/>
                <w:szCs w:val="16"/>
                <w:lang w:val="en-GB"/>
              </w:rPr>
            </w:pPr>
          </w:p>
        </w:tc>
        <w:tc>
          <w:tcPr>
            <w:tcW w:w="2801" w:type="dxa"/>
          </w:tcPr>
          <w:p w14:paraId="12E09F5F" w14:textId="77777777" w:rsidR="00F54BF4" w:rsidRPr="00C17ED0" w:rsidRDefault="00F54BF4" w:rsidP="00F54BF4">
            <w:pPr>
              <w:spacing w:before="60" w:after="60" w:line="260" w:lineRule="atLeast"/>
              <w:ind w:left="0"/>
              <w:cnfStyle w:val="000000000000" w:firstRow="0" w:lastRow="0" w:firstColumn="0" w:lastColumn="0" w:oddVBand="0" w:evenVBand="0" w:oddHBand="0" w:evenHBand="0" w:firstRowFirstColumn="0" w:firstRowLastColumn="0" w:lastRowFirstColumn="0" w:lastRowLastColumn="0"/>
              <w:rPr>
                <w:rFonts w:cs="Arial"/>
                <w:color w:val="6D6E71"/>
                <w:spacing w:val="8"/>
                <w:sz w:val="16"/>
                <w:szCs w:val="16"/>
                <w:lang w:val="en-GB"/>
              </w:rPr>
            </w:pPr>
            <w:r w:rsidRPr="00C17ED0">
              <w:rPr>
                <w:rFonts w:cs="Arial"/>
                <w:color w:val="6D6E71"/>
                <w:spacing w:val="8"/>
                <w:sz w:val="16"/>
                <w:szCs w:val="16"/>
                <w:lang w:val="en-GB"/>
              </w:rPr>
              <w:t xml:space="preserve">Agencies need to provide </w:t>
            </w:r>
            <w:r w:rsidR="00CF071B" w:rsidRPr="00C17ED0">
              <w:rPr>
                <w:rFonts w:cs="Arial"/>
                <w:color w:val="6D6E71"/>
                <w:spacing w:val="8"/>
                <w:sz w:val="16"/>
                <w:szCs w:val="16"/>
                <w:lang w:val="en-GB"/>
              </w:rPr>
              <w:t>Integrator</w:t>
            </w:r>
            <w:r w:rsidRPr="00C17ED0">
              <w:rPr>
                <w:rFonts w:cs="Arial"/>
                <w:color w:val="6D6E71"/>
                <w:spacing w:val="8"/>
                <w:sz w:val="16"/>
                <w:szCs w:val="16"/>
                <w:lang w:val="en-GB"/>
              </w:rPr>
              <w:t xml:space="preserve"> the full URL of the location where the Certificate Revocation List can be sourced.  If the agency CRL listens on a custom port, that port will be required to configure Dimension Data services to retrieve the CRL on that port.  If no CRL is offered, no revocation checks can be made on agency certificates.</w:t>
            </w:r>
          </w:p>
        </w:tc>
        <w:tc>
          <w:tcPr>
            <w:tcW w:w="2552" w:type="dxa"/>
          </w:tcPr>
          <w:p w14:paraId="4E4EB922" w14:textId="77777777" w:rsidR="00F54BF4" w:rsidRPr="00C17ED0" w:rsidRDefault="00CF071B" w:rsidP="00F54BF4">
            <w:pPr>
              <w:spacing w:before="60" w:after="60" w:line="260" w:lineRule="atLeast"/>
              <w:ind w:left="0"/>
              <w:cnfStyle w:val="000000000000" w:firstRow="0" w:lastRow="0" w:firstColumn="0" w:lastColumn="0" w:oddVBand="0" w:evenVBand="0" w:oddHBand="0" w:evenHBand="0" w:firstRowFirstColumn="0" w:firstRowLastColumn="0" w:lastRowFirstColumn="0" w:lastRowLastColumn="0"/>
              <w:rPr>
                <w:rFonts w:cs="Arial"/>
                <w:color w:val="6D6E71"/>
                <w:spacing w:val="8"/>
                <w:sz w:val="16"/>
                <w:szCs w:val="16"/>
                <w:lang w:val="en-GB"/>
              </w:rPr>
            </w:pPr>
            <w:r w:rsidRPr="00C17ED0">
              <w:rPr>
                <w:rFonts w:cs="Arial"/>
                <w:color w:val="6D6E71"/>
                <w:spacing w:val="8"/>
                <w:sz w:val="16"/>
                <w:szCs w:val="16"/>
                <w:lang w:val="en-GB"/>
              </w:rPr>
              <w:t xml:space="preserve">The integrator will provide </w:t>
            </w:r>
            <w:r w:rsidR="00F54BF4" w:rsidRPr="00C17ED0">
              <w:rPr>
                <w:rFonts w:cs="Arial"/>
                <w:color w:val="6D6E71"/>
                <w:spacing w:val="8"/>
                <w:sz w:val="16"/>
                <w:szCs w:val="16"/>
                <w:lang w:val="en-GB"/>
              </w:rPr>
              <w:t xml:space="preserve">to the agencies the source of the request in the agency AIS spreadsheets.  </w:t>
            </w:r>
          </w:p>
        </w:tc>
      </w:tr>
    </w:tbl>
    <w:p w14:paraId="3A14C98E" w14:textId="77777777" w:rsidR="00F54BF4" w:rsidRDefault="00F54BF4" w:rsidP="00CF071B">
      <w:pPr>
        <w:pStyle w:val="Caption"/>
      </w:pPr>
      <w:bookmarkStart w:id="16" w:name="_Toc18916437"/>
      <w:r>
        <w:t xml:space="preserve">Table </w:t>
      </w:r>
      <w:fldSimple w:instr=" SEQ Table \* ARABIC ">
        <w:r w:rsidR="00191DD1">
          <w:rPr>
            <w:noProof/>
          </w:rPr>
          <w:t>2</w:t>
        </w:r>
      </w:fldSimple>
      <w:r>
        <w:t xml:space="preserve"> CRL Requirements</w:t>
      </w:r>
      <w:bookmarkEnd w:id="16"/>
    </w:p>
    <w:p w14:paraId="4A85132B" w14:textId="77777777" w:rsidR="00F54BF4" w:rsidRDefault="00F54BF4" w:rsidP="00F54BF4">
      <w:pPr>
        <w:pStyle w:val="BodyText"/>
      </w:pPr>
      <w:r>
        <w:rPr>
          <w:noProof/>
        </w:rPr>
        <w:drawing>
          <wp:inline distT="0" distB="0" distL="0" distR="0" wp14:anchorId="372D7C6C" wp14:editId="670AF97F">
            <wp:extent cx="5581935" cy="5177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8696" cy="519323"/>
                    </a:xfrm>
                    <a:prstGeom prst="rect">
                      <a:avLst/>
                    </a:prstGeom>
                  </pic:spPr>
                </pic:pic>
              </a:graphicData>
            </a:graphic>
          </wp:inline>
        </w:drawing>
      </w:r>
    </w:p>
    <w:p w14:paraId="6E3D3681" w14:textId="77777777" w:rsidR="00A20E80" w:rsidRPr="00F54BF4" w:rsidRDefault="00A20E80" w:rsidP="00CF071B">
      <w:pPr>
        <w:pStyle w:val="Caption"/>
      </w:pPr>
      <w:bookmarkStart w:id="17" w:name="_Toc18916438"/>
      <w:r>
        <w:t xml:space="preserve">Table </w:t>
      </w:r>
      <w:fldSimple w:instr=" SEQ Table \* ARABIC ">
        <w:r w:rsidR="00191DD1">
          <w:rPr>
            <w:noProof/>
          </w:rPr>
          <w:t>3</w:t>
        </w:r>
      </w:fldSimple>
      <w:r>
        <w:t xml:space="preserve"> - CRL Sample spreadsheet</w:t>
      </w:r>
      <w:bookmarkEnd w:id="17"/>
    </w:p>
    <w:p w14:paraId="3D60E38E" w14:textId="77777777" w:rsidR="00D76140" w:rsidRDefault="00A20E80" w:rsidP="00327C30">
      <w:pPr>
        <w:pStyle w:val="Heading3"/>
      </w:pPr>
      <w:r>
        <w:t>DNS Name R</w:t>
      </w:r>
      <w:r w:rsidR="00D76140">
        <w:t>esolution</w:t>
      </w:r>
    </w:p>
    <w:p w14:paraId="49069F9E" w14:textId="0D44AEF2" w:rsidR="00D76140" w:rsidRDefault="00D76140" w:rsidP="00D76140">
      <w:pPr>
        <w:pStyle w:val="BodyText"/>
      </w:pPr>
      <w:r>
        <w:t xml:space="preserve">Each agency </w:t>
      </w:r>
      <w:r w:rsidR="005B011F">
        <w:t xml:space="preserve">should </w:t>
      </w:r>
      <w:r>
        <w:t>perform a conditional forward for the QGAAAD.QLD.GOV.AU domain to the Extranet facing domain name servers that host that domain.  Failure to do so will result in Internet facing DNS name resolutions being returned to users, rendering them unable to use Extranet only services.</w:t>
      </w:r>
    </w:p>
    <w:p w14:paraId="1E2652DB" w14:textId="329E9F3E" w:rsidR="00D76140" w:rsidRDefault="00D76140" w:rsidP="00D76140">
      <w:pPr>
        <w:pStyle w:val="BodyText"/>
      </w:pPr>
      <w:r>
        <w:t xml:space="preserve">Agencies who host their own Extranet facing DNS servers (including those whose DNS is handled by a third party, but are still presented on Extranet) </w:t>
      </w:r>
      <w:r w:rsidR="005B011F">
        <w:t xml:space="preserve">should </w:t>
      </w:r>
      <w:r>
        <w:t xml:space="preserve">also permit access from QGAAAD.QLD.GOV.AU name servers to their name servers.   </w:t>
      </w:r>
    </w:p>
    <w:p w14:paraId="3F4568F6" w14:textId="77777777" w:rsidR="00D76140" w:rsidRDefault="00D76140" w:rsidP="00D76140">
      <w:pPr>
        <w:pStyle w:val="BodyText"/>
      </w:pPr>
      <w:r>
        <w:t xml:space="preserve">The firewall rule requirements for DNS are outlined in </w:t>
      </w:r>
      <w:r w:rsidR="00F54BF4">
        <w:t xml:space="preserve">the </w:t>
      </w:r>
      <w:r w:rsidR="00C07B7C">
        <w:t>Agency AIS Configuration S</w:t>
      </w:r>
      <w:r>
        <w:t>preadsheet example below:</w:t>
      </w:r>
    </w:p>
    <w:p w14:paraId="64D87131" w14:textId="77777777" w:rsidR="00D76140" w:rsidRDefault="00D76140" w:rsidP="00D76140">
      <w:pPr>
        <w:pStyle w:val="BodyText"/>
      </w:pPr>
    </w:p>
    <w:p w14:paraId="5E7B5E1C" w14:textId="77777777" w:rsidR="00D76140" w:rsidRDefault="00D76140" w:rsidP="00D76140">
      <w:pPr>
        <w:pStyle w:val="BodyText"/>
      </w:pPr>
      <w:r>
        <w:rPr>
          <w:noProof/>
        </w:rPr>
        <w:drawing>
          <wp:inline distT="0" distB="0" distL="0" distR="0" wp14:anchorId="2B127B2B" wp14:editId="7F0BE806">
            <wp:extent cx="5472753" cy="60757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0860" cy="611810"/>
                    </a:xfrm>
                    <a:prstGeom prst="rect">
                      <a:avLst/>
                    </a:prstGeom>
                  </pic:spPr>
                </pic:pic>
              </a:graphicData>
            </a:graphic>
          </wp:inline>
        </w:drawing>
      </w:r>
    </w:p>
    <w:p w14:paraId="3DD634EF" w14:textId="77777777" w:rsidR="00D76140" w:rsidRDefault="00F54BF4" w:rsidP="00D76140">
      <w:pPr>
        <w:pStyle w:val="BodyText"/>
      </w:pPr>
      <w:r>
        <w:rPr>
          <w:noProof/>
        </w:rPr>
        <w:drawing>
          <wp:inline distT="0" distB="0" distL="0" distR="0" wp14:anchorId="06D1325B" wp14:editId="2285906C">
            <wp:extent cx="5472430" cy="4809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4083" cy="482827"/>
                    </a:xfrm>
                    <a:prstGeom prst="rect">
                      <a:avLst/>
                    </a:prstGeom>
                  </pic:spPr>
                </pic:pic>
              </a:graphicData>
            </a:graphic>
          </wp:inline>
        </w:drawing>
      </w:r>
    </w:p>
    <w:p w14:paraId="5DB989B7" w14:textId="77777777" w:rsidR="00D76140" w:rsidRPr="00D76140" w:rsidRDefault="00A20E80" w:rsidP="00CF071B">
      <w:pPr>
        <w:pStyle w:val="Caption"/>
      </w:pPr>
      <w:bookmarkStart w:id="18" w:name="_Toc18916439"/>
      <w:r>
        <w:t xml:space="preserve">Table </w:t>
      </w:r>
      <w:fldSimple w:instr=" SEQ Table \* ARABIC ">
        <w:r w:rsidR="00191DD1">
          <w:rPr>
            <w:noProof/>
          </w:rPr>
          <w:t>4</w:t>
        </w:r>
      </w:fldSimple>
      <w:r>
        <w:t xml:space="preserve"> – Sample DNS spreadsheet</w:t>
      </w:r>
      <w:bookmarkEnd w:id="18"/>
    </w:p>
    <w:p w14:paraId="31E529F7" w14:textId="77777777" w:rsidR="00A20E80" w:rsidRDefault="003E2854" w:rsidP="00327C30">
      <w:pPr>
        <w:pStyle w:val="Heading3"/>
      </w:pPr>
      <w:r>
        <w:t>802.1x Certificates</w:t>
      </w:r>
    </w:p>
    <w:p w14:paraId="3F87C591" w14:textId="77777777" w:rsidR="003E2854" w:rsidRDefault="003E2854" w:rsidP="003E2854">
      <w:pPr>
        <w:pStyle w:val="BodyText"/>
      </w:pPr>
      <w:r>
        <w:t xml:space="preserve">The corporate devices connected to the wired and wireless LAN in any transformed building shall be authenticated using X.509 certificates.  The procedure for configuring the Microsoft Windows devices is described below.  It is by no means an exhaustive explanation of the </w:t>
      </w:r>
      <w:r>
        <w:lastRenderedPageBreak/>
        <w:t>topic but it explains how this task can be performed manually.  In production</w:t>
      </w:r>
      <w:r w:rsidR="00CF071B">
        <w:t>,</w:t>
      </w:r>
      <w:r>
        <w:t xml:space="preserve"> it is expected that each government agency will deploy these configurations via an IT group policy.</w:t>
      </w:r>
    </w:p>
    <w:p w14:paraId="56B32789" w14:textId="77777777" w:rsidR="003E2854" w:rsidRDefault="003E2854" w:rsidP="003E2854">
      <w:pPr>
        <w:pStyle w:val="BodyText"/>
      </w:pPr>
      <w:r>
        <w:t>Wired and wireless is somewhat different, but they still use the same certificate.  In general, the Windows host should have its own unique machine certificate pre-installed prior to beginning with the configurations.</w:t>
      </w:r>
    </w:p>
    <w:p w14:paraId="3200A722" w14:textId="77777777" w:rsidR="003E2854" w:rsidRDefault="00AE1EA4" w:rsidP="006D54EA">
      <w:pPr>
        <w:pStyle w:val="BodyText"/>
        <w:numPr>
          <w:ilvl w:val="0"/>
          <w:numId w:val="28"/>
        </w:numPr>
      </w:pPr>
      <w:r>
        <w:t>Enable the wired AutoC</w:t>
      </w:r>
      <w:r w:rsidR="003E2854">
        <w:t>onfig service</w:t>
      </w:r>
    </w:p>
    <w:p w14:paraId="5E18A090" w14:textId="77777777" w:rsidR="003E2854" w:rsidRDefault="003E2854" w:rsidP="006D54EA">
      <w:pPr>
        <w:pStyle w:val="BodyText"/>
        <w:numPr>
          <w:ilvl w:val="0"/>
          <w:numId w:val="27"/>
        </w:numPr>
      </w:pPr>
      <w:r>
        <w:t xml:space="preserve">By default, Windows does not perform EAP authentication on wired connections. To enable this, start the Windows service called ‘Wired AutoConfig’.  </w:t>
      </w:r>
    </w:p>
    <w:p w14:paraId="71D48CA6" w14:textId="77777777" w:rsidR="003E2854" w:rsidRDefault="003E2854" w:rsidP="006D54EA">
      <w:pPr>
        <w:pStyle w:val="BodyText"/>
        <w:numPr>
          <w:ilvl w:val="0"/>
          <w:numId w:val="27"/>
        </w:numPr>
      </w:pPr>
      <w:r>
        <w:t>Launch the services.msc tool and choose the Standard tab, find Wired AutoConfig and start the service.</w:t>
      </w:r>
    </w:p>
    <w:p w14:paraId="0224C26E" w14:textId="77777777" w:rsidR="00D34600" w:rsidRDefault="00D34600" w:rsidP="00C17ED0">
      <w:pPr>
        <w:pStyle w:val="BodyText"/>
        <w:ind w:left="1440"/>
      </w:pPr>
      <w:r w:rsidRPr="00011A21">
        <w:rPr>
          <w:noProof/>
        </w:rPr>
        <w:drawing>
          <wp:inline distT="0" distB="0" distL="0" distR="0" wp14:anchorId="79023E05" wp14:editId="66124E42">
            <wp:extent cx="2628900"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3028950"/>
                    </a:xfrm>
                    <a:prstGeom prst="rect">
                      <a:avLst/>
                    </a:prstGeom>
                    <a:noFill/>
                    <a:ln>
                      <a:noFill/>
                    </a:ln>
                  </pic:spPr>
                </pic:pic>
              </a:graphicData>
            </a:graphic>
          </wp:inline>
        </w:drawing>
      </w:r>
    </w:p>
    <w:p w14:paraId="5743AED5" w14:textId="77777777" w:rsidR="00D34600" w:rsidRDefault="00D34600" w:rsidP="00CF071B">
      <w:pPr>
        <w:pStyle w:val="Caption"/>
      </w:pPr>
      <w:bookmarkStart w:id="19" w:name="_Toc18916421"/>
      <w:r>
        <w:t xml:space="preserve">Figure </w:t>
      </w:r>
      <w:fldSimple w:instr=" SEQ Figure \* ARABIC ">
        <w:r w:rsidR="00191DD1">
          <w:rPr>
            <w:noProof/>
          </w:rPr>
          <w:t>2</w:t>
        </w:r>
      </w:fldSimple>
      <w:r>
        <w:t xml:space="preserve"> – AutoConfig Service</w:t>
      </w:r>
      <w:bookmarkEnd w:id="19"/>
    </w:p>
    <w:p w14:paraId="5A96F60D" w14:textId="77777777" w:rsidR="00D34600" w:rsidRDefault="00D34600" w:rsidP="006D54EA">
      <w:pPr>
        <w:pStyle w:val="BodyText"/>
        <w:numPr>
          <w:ilvl w:val="0"/>
          <w:numId w:val="28"/>
        </w:numPr>
      </w:pPr>
      <w:r>
        <w:t>Configure the wired LAN adapter authentication settings</w:t>
      </w:r>
    </w:p>
    <w:p w14:paraId="6C6A24F1" w14:textId="77777777" w:rsidR="00D34600" w:rsidRDefault="00D34600" w:rsidP="006D54EA">
      <w:pPr>
        <w:pStyle w:val="BodyText"/>
        <w:numPr>
          <w:ilvl w:val="0"/>
          <w:numId w:val="29"/>
        </w:numPr>
      </w:pPr>
      <w:r w:rsidRPr="00011A21">
        <w:t>Once the AutoConfig service is running you will notice a new tab called ‘Authentication’ under the wired LAN adapter properties</w:t>
      </w:r>
    </w:p>
    <w:p w14:paraId="3F1811AF" w14:textId="77777777" w:rsidR="00D34600" w:rsidRDefault="00D34600" w:rsidP="00C17ED0">
      <w:pPr>
        <w:pStyle w:val="BodyText"/>
        <w:ind w:left="1440"/>
      </w:pPr>
      <w:r w:rsidRPr="00011A21">
        <w:rPr>
          <w:noProof/>
        </w:rPr>
        <w:lastRenderedPageBreak/>
        <w:drawing>
          <wp:inline distT="0" distB="0" distL="0" distR="0" wp14:anchorId="67513156" wp14:editId="30DE97A5">
            <wp:extent cx="2657475" cy="3543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p>
    <w:p w14:paraId="196B4237" w14:textId="77777777" w:rsidR="00D34600" w:rsidRDefault="00D34600" w:rsidP="00CF071B">
      <w:pPr>
        <w:pStyle w:val="Caption"/>
      </w:pPr>
      <w:bookmarkStart w:id="20" w:name="_Toc18916422"/>
      <w:r>
        <w:t xml:space="preserve">Figure </w:t>
      </w:r>
      <w:fldSimple w:instr=" SEQ Figure \* ARABIC ">
        <w:r w:rsidR="00191DD1">
          <w:rPr>
            <w:noProof/>
          </w:rPr>
          <w:t>3</w:t>
        </w:r>
      </w:fldSimple>
      <w:r>
        <w:t xml:space="preserve"> – Authentication Settings</w:t>
      </w:r>
      <w:bookmarkEnd w:id="20"/>
    </w:p>
    <w:p w14:paraId="42D7F113" w14:textId="77777777" w:rsidR="00D34600" w:rsidRDefault="00D34600" w:rsidP="006D54EA">
      <w:pPr>
        <w:pStyle w:val="BodyText"/>
        <w:numPr>
          <w:ilvl w:val="0"/>
          <w:numId w:val="28"/>
        </w:numPr>
      </w:pPr>
      <w:r>
        <w:t>Select the Authentication tab</w:t>
      </w:r>
    </w:p>
    <w:p w14:paraId="71484F79" w14:textId="77777777" w:rsidR="00D34600" w:rsidRDefault="00D34600" w:rsidP="00C17ED0">
      <w:pPr>
        <w:pStyle w:val="BodyText"/>
        <w:ind w:left="1440"/>
      </w:pPr>
      <w:r w:rsidRPr="00011A21">
        <w:rPr>
          <w:noProof/>
        </w:rPr>
        <w:drawing>
          <wp:inline distT="0" distB="0" distL="0" distR="0" wp14:anchorId="666C61E4" wp14:editId="66F45692">
            <wp:extent cx="2638425" cy="3514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a:ln>
                      <a:noFill/>
                    </a:ln>
                  </pic:spPr>
                </pic:pic>
              </a:graphicData>
            </a:graphic>
          </wp:inline>
        </w:drawing>
      </w:r>
    </w:p>
    <w:p w14:paraId="7E1DD289" w14:textId="77777777" w:rsidR="00D34600" w:rsidRDefault="00D34600" w:rsidP="00CF071B">
      <w:pPr>
        <w:pStyle w:val="Caption"/>
      </w:pPr>
      <w:bookmarkStart w:id="21" w:name="_Toc18916423"/>
      <w:r>
        <w:t xml:space="preserve">Figure </w:t>
      </w:r>
      <w:fldSimple w:instr=" SEQ Figure \* ARABIC ">
        <w:r w:rsidR="00191DD1">
          <w:rPr>
            <w:noProof/>
          </w:rPr>
          <w:t>4</w:t>
        </w:r>
      </w:fldSimple>
      <w:r>
        <w:t xml:space="preserve"> – Authentication tab</w:t>
      </w:r>
      <w:bookmarkEnd w:id="21"/>
    </w:p>
    <w:p w14:paraId="5922BC17" w14:textId="77777777" w:rsidR="00D34600" w:rsidRDefault="00D34600" w:rsidP="00D34600">
      <w:pPr>
        <w:pStyle w:val="BodyText"/>
      </w:pPr>
    </w:p>
    <w:p w14:paraId="2496B4F8" w14:textId="77777777" w:rsidR="00D34600" w:rsidRDefault="00D34600" w:rsidP="006D54EA">
      <w:pPr>
        <w:pStyle w:val="BodyText"/>
        <w:numPr>
          <w:ilvl w:val="0"/>
          <w:numId w:val="28"/>
        </w:numPr>
      </w:pPr>
      <w:r w:rsidRPr="00D34600">
        <w:t>Amend the network authentication method for certificate based authentication and ensure that the Fall-back check box is in place to allow the adapter to still function normally in non-802.1x environments.</w:t>
      </w:r>
    </w:p>
    <w:p w14:paraId="44A9562D" w14:textId="77777777" w:rsidR="00D34600" w:rsidRDefault="00D34600" w:rsidP="00C17ED0">
      <w:pPr>
        <w:pStyle w:val="BodyText"/>
        <w:ind w:left="1440"/>
      </w:pPr>
      <w:r w:rsidRPr="00011A21">
        <w:rPr>
          <w:noProof/>
        </w:rPr>
        <w:lastRenderedPageBreak/>
        <w:drawing>
          <wp:inline distT="0" distB="0" distL="0" distR="0" wp14:anchorId="46AA0AB6" wp14:editId="0469C2A2">
            <wp:extent cx="263842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8425" cy="3514725"/>
                    </a:xfrm>
                    <a:prstGeom prst="rect">
                      <a:avLst/>
                    </a:prstGeom>
                    <a:noFill/>
                    <a:ln>
                      <a:noFill/>
                    </a:ln>
                  </pic:spPr>
                </pic:pic>
              </a:graphicData>
            </a:graphic>
          </wp:inline>
        </w:drawing>
      </w:r>
    </w:p>
    <w:p w14:paraId="2F5BCC26" w14:textId="77777777" w:rsidR="00D34600" w:rsidRDefault="00D34600" w:rsidP="00CF071B">
      <w:pPr>
        <w:pStyle w:val="Caption"/>
      </w:pPr>
      <w:bookmarkStart w:id="22" w:name="_Toc18916424"/>
      <w:r>
        <w:t xml:space="preserve">Figure </w:t>
      </w:r>
      <w:fldSimple w:instr=" SEQ Figure \* ARABIC ">
        <w:r w:rsidR="00191DD1">
          <w:rPr>
            <w:noProof/>
          </w:rPr>
          <w:t>5</w:t>
        </w:r>
      </w:fldSimple>
      <w:r>
        <w:t xml:space="preserve"> – Network authentication method</w:t>
      </w:r>
      <w:bookmarkEnd w:id="22"/>
    </w:p>
    <w:p w14:paraId="6FB39270" w14:textId="77777777" w:rsidR="00D34600" w:rsidRPr="00D34600" w:rsidRDefault="00D34600" w:rsidP="006D54EA">
      <w:pPr>
        <w:pStyle w:val="DDBullet4"/>
        <w:numPr>
          <w:ilvl w:val="0"/>
          <w:numId w:val="28"/>
        </w:numPr>
        <w:rPr>
          <w:bCs/>
          <w:noProof/>
        </w:rPr>
      </w:pPr>
      <w:r w:rsidRPr="00011A21">
        <w:rPr>
          <w:noProof/>
        </w:rPr>
        <w:t>Click on Settings and the following default settings will be displayed:</w:t>
      </w:r>
    </w:p>
    <w:p w14:paraId="5705BB36" w14:textId="77777777" w:rsidR="00D34600" w:rsidRPr="00D34600" w:rsidRDefault="00D34600" w:rsidP="00D34600">
      <w:pPr>
        <w:pStyle w:val="DDBullet4"/>
        <w:numPr>
          <w:ilvl w:val="0"/>
          <w:numId w:val="0"/>
        </w:numPr>
        <w:ind w:left="1080"/>
        <w:rPr>
          <w:bCs/>
          <w:noProof/>
        </w:rPr>
      </w:pPr>
    </w:p>
    <w:p w14:paraId="11EBEF72" w14:textId="77777777" w:rsidR="00D34600" w:rsidRPr="00D34600" w:rsidRDefault="00D34600" w:rsidP="00C17ED0">
      <w:pPr>
        <w:pStyle w:val="DDBullet4"/>
        <w:numPr>
          <w:ilvl w:val="0"/>
          <w:numId w:val="0"/>
        </w:numPr>
        <w:ind w:left="1440"/>
        <w:rPr>
          <w:bCs/>
          <w:noProof/>
        </w:rPr>
      </w:pPr>
      <w:r w:rsidRPr="00011A21">
        <w:rPr>
          <w:noProof/>
          <w:lang w:val="en-AU" w:eastAsia="en-AU"/>
        </w:rPr>
        <w:drawing>
          <wp:inline distT="0" distB="0" distL="0" distR="0" wp14:anchorId="685C8482" wp14:editId="40547041">
            <wp:extent cx="2609850" cy="3857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3857625"/>
                    </a:xfrm>
                    <a:prstGeom prst="rect">
                      <a:avLst/>
                    </a:prstGeom>
                    <a:noFill/>
                    <a:ln>
                      <a:noFill/>
                    </a:ln>
                  </pic:spPr>
                </pic:pic>
              </a:graphicData>
            </a:graphic>
          </wp:inline>
        </w:drawing>
      </w:r>
    </w:p>
    <w:p w14:paraId="234DA050" w14:textId="77777777" w:rsidR="00D34600" w:rsidRDefault="00D34600" w:rsidP="00CF071B">
      <w:pPr>
        <w:pStyle w:val="Caption"/>
      </w:pPr>
      <w:bookmarkStart w:id="23" w:name="_Toc18916425"/>
      <w:r>
        <w:t xml:space="preserve">Figure </w:t>
      </w:r>
      <w:fldSimple w:instr=" SEQ Figure \* ARABIC ">
        <w:r w:rsidR="00191DD1">
          <w:rPr>
            <w:noProof/>
          </w:rPr>
          <w:t>6</w:t>
        </w:r>
      </w:fldSimple>
      <w:r>
        <w:t xml:space="preserve"> </w:t>
      </w:r>
      <w:r w:rsidR="002B0E30">
        <w:t>–</w:t>
      </w:r>
      <w:r>
        <w:t xml:space="preserve"> </w:t>
      </w:r>
      <w:r w:rsidR="002B0E30">
        <w:t>Settings</w:t>
      </w:r>
      <w:bookmarkEnd w:id="23"/>
    </w:p>
    <w:p w14:paraId="740BE3DE" w14:textId="77777777" w:rsidR="002B0E30" w:rsidRDefault="002B0E30" w:rsidP="006D54EA">
      <w:pPr>
        <w:pStyle w:val="BodyText"/>
        <w:numPr>
          <w:ilvl w:val="0"/>
          <w:numId w:val="28"/>
        </w:numPr>
      </w:pPr>
      <w:r>
        <w:t>Configure the following:</w:t>
      </w:r>
    </w:p>
    <w:p w14:paraId="0731AE71" w14:textId="77777777" w:rsidR="002B0E30" w:rsidRDefault="002B0E30" w:rsidP="006D54EA">
      <w:pPr>
        <w:pStyle w:val="BodyText"/>
        <w:numPr>
          <w:ilvl w:val="0"/>
          <w:numId w:val="29"/>
        </w:numPr>
      </w:pPr>
      <w:r>
        <w:lastRenderedPageBreak/>
        <w:t>Tick the checkbox to validate the AAA server and enter the domain name ise.qgaaad.qld.gov.au</w:t>
      </w:r>
    </w:p>
    <w:p w14:paraId="17FDE305" w14:textId="77777777" w:rsidR="002B0E30" w:rsidRDefault="002B0E30" w:rsidP="006D54EA">
      <w:pPr>
        <w:pStyle w:val="BodyText"/>
        <w:numPr>
          <w:ilvl w:val="0"/>
          <w:numId w:val="29"/>
        </w:numPr>
      </w:pPr>
      <w:r>
        <w:t>Find the Go Daddy Trusted Root Certificate Authority – G2 and check it</w:t>
      </w:r>
    </w:p>
    <w:p w14:paraId="01FAF29D" w14:textId="77777777" w:rsidR="002B0E30" w:rsidRDefault="002B0E30" w:rsidP="006D54EA">
      <w:pPr>
        <w:pStyle w:val="BodyText"/>
        <w:numPr>
          <w:ilvl w:val="0"/>
          <w:numId w:val="29"/>
        </w:numPr>
      </w:pPr>
      <w:r>
        <w:t>Check the box to avoid getting a confirmation prompt</w:t>
      </w:r>
    </w:p>
    <w:p w14:paraId="133A2291" w14:textId="77777777" w:rsidR="002B0E30" w:rsidRDefault="002B0E30" w:rsidP="006D54EA">
      <w:pPr>
        <w:pStyle w:val="BodyText"/>
        <w:numPr>
          <w:ilvl w:val="0"/>
          <w:numId w:val="29"/>
        </w:numPr>
      </w:pPr>
      <w:r>
        <w:t>Click OK</w:t>
      </w:r>
    </w:p>
    <w:p w14:paraId="384CCAA1" w14:textId="77777777" w:rsidR="002B0E30" w:rsidRDefault="002B0E30" w:rsidP="002B0E30">
      <w:pPr>
        <w:pStyle w:val="BodyText"/>
        <w:ind w:left="1440"/>
      </w:pPr>
    </w:p>
    <w:p w14:paraId="75064492" w14:textId="77777777" w:rsidR="002B0E30" w:rsidRDefault="002B0E30" w:rsidP="00C17ED0">
      <w:pPr>
        <w:pStyle w:val="BodyText"/>
        <w:ind w:left="1440"/>
      </w:pPr>
      <w:r w:rsidRPr="00011A21">
        <w:rPr>
          <w:noProof/>
        </w:rPr>
        <w:drawing>
          <wp:inline distT="0" distB="0" distL="0" distR="0" wp14:anchorId="02633F37" wp14:editId="347CCD0A">
            <wp:extent cx="3362325" cy="479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4791075"/>
                    </a:xfrm>
                    <a:prstGeom prst="rect">
                      <a:avLst/>
                    </a:prstGeom>
                    <a:noFill/>
                    <a:ln>
                      <a:noFill/>
                    </a:ln>
                  </pic:spPr>
                </pic:pic>
              </a:graphicData>
            </a:graphic>
          </wp:inline>
        </w:drawing>
      </w:r>
    </w:p>
    <w:p w14:paraId="0C819D30" w14:textId="77777777" w:rsidR="002B0E30" w:rsidRDefault="002B0E30" w:rsidP="00CF071B">
      <w:pPr>
        <w:pStyle w:val="Caption"/>
      </w:pPr>
      <w:bookmarkStart w:id="24" w:name="_Toc18916426"/>
      <w:r>
        <w:t xml:space="preserve">Figure </w:t>
      </w:r>
      <w:fldSimple w:instr=" SEQ Figure \* ARABIC ">
        <w:r w:rsidR="00191DD1">
          <w:rPr>
            <w:noProof/>
          </w:rPr>
          <w:t>7</w:t>
        </w:r>
      </w:fldSimple>
      <w:r>
        <w:t xml:space="preserve"> – Certificate properties</w:t>
      </w:r>
      <w:bookmarkEnd w:id="24"/>
    </w:p>
    <w:p w14:paraId="6377EF8F" w14:textId="77777777" w:rsidR="002B0E30" w:rsidRPr="002B0E30" w:rsidRDefault="002B0E30" w:rsidP="006D54EA">
      <w:pPr>
        <w:pStyle w:val="ListParagraph"/>
        <w:numPr>
          <w:ilvl w:val="0"/>
          <w:numId w:val="28"/>
        </w:numPr>
        <w:tabs>
          <w:tab w:val="num" w:pos="1418"/>
        </w:tabs>
        <w:spacing w:before="0" w:line="300" w:lineRule="atLeast"/>
        <w:rPr>
          <w:rFonts w:cs="Arial"/>
          <w:bCs/>
          <w:color w:val="000000"/>
          <w:spacing w:val="10"/>
          <w:sz w:val="20"/>
          <w:lang w:val="en-GB"/>
        </w:rPr>
      </w:pPr>
      <w:r w:rsidRPr="002B0E30">
        <w:rPr>
          <w:rFonts w:cs="Arial"/>
          <w:color w:val="000000"/>
          <w:spacing w:val="10"/>
          <w:sz w:val="20"/>
          <w:lang w:val="en-GB"/>
        </w:rPr>
        <w:t>Click on Additional Settings and you will see the defaults</w:t>
      </w:r>
    </w:p>
    <w:p w14:paraId="0B2E38D7" w14:textId="77777777" w:rsidR="002B0E30" w:rsidRPr="002B0E30" w:rsidRDefault="002B0E30" w:rsidP="00C17ED0">
      <w:pPr>
        <w:pStyle w:val="ListParagraph"/>
        <w:tabs>
          <w:tab w:val="num" w:pos="1418"/>
        </w:tabs>
        <w:spacing w:before="0" w:line="300" w:lineRule="atLeast"/>
        <w:ind w:left="1440"/>
        <w:rPr>
          <w:rFonts w:cs="Arial"/>
          <w:bCs/>
          <w:color w:val="000000"/>
          <w:spacing w:val="10"/>
          <w:sz w:val="20"/>
          <w:lang w:val="en-GB"/>
        </w:rPr>
      </w:pPr>
      <w:r w:rsidRPr="00011A21">
        <w:rPr>
          <w:noProof/>
          <w:lang w:eastAsia="en-AU"/>
        </w:rPr>
        <w:lastRenderedPageBreak/>
        <w:drawing>
          <wp:inline distT="0" distB="0" distL="0" distR="0" wp14:anchorId="32D2CAFC" wp14:editId="5BC1E190">
            <wp:extent cx="2495550" cy="3324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5550" cy="3324225"/>
                    </a:xfrm>
                    <a:prstGeom prst="rect">
                      <a:avLst/>
                    </a:prstGeom>
                    <a:noFill/>
                    <a:ln>
                      <a:noFill/>
                    </a:ln>
                  </pic:spPr>
                </pic:pic>
              </a:graphicData>
            </a:graphic>
          </wp:inline>
        </w:drawing>
      </w:r>
    </w:p>
    <w:p w14:paraId="07473533" w14:textId="77777777" w:rsidR="002B0E30" w:rsidRDefault="002B0E30" w:rsidP="00CF071B">
      <w:pPr>
        <w:pStyle w:val="Caption"/>
      </w:pPr>
      <w:bookmarkStart w:id="25" w:name="_Toc18916427"/>
      <w:r>
        <w:t xml:space="preserve">Figure </w:t>
      </w:r>
      <w:fldSimple w:instr=" SEQ Figure \* ARABIC ">
        <w:r w:rsidR="00191DD1">
          <w:rPr>
            <w:noProof/>
          </w:rPr>
          <w:t>8</w:t>
        </w:r>
      </w:fldSimple>
      <w:r>
        <w:t xml:space="preserve"> </w:t>
      </w:r>
      <w:r w:rsidR="00CF071B">
        <w:t xml:space="preserve">- </w:t>
      </w:r>
      <w:r>
        <w:t>Advanced settings</w:t>
      </w:r>
      <w:bookmarkEnd w:id="25"/>
    </w:p>
    <w:p w14:paraId="51D095A1" w14:textId="77777777" w:rsidR="002B0E30" w:rsidRDefault="002B0E30" w:rsidP="002B0E30">
      <w:pPr>
        <w:pStyle w:val="BodyText"/>
      </w:pPr>
    </w:p>
    <w:p w14:paraId="4A0932DB" w14:textId="77777777" w:rsidR="002B0E30" w:rsidRDefault="002B0E30" w:rsidP="006D54EA">
      <w:pPr>
        <w:pStyle w:val="BodyText"/>
        <w:numPr>
          <w:ilvl w:val="0"/>
          <w:numId w:val="28"/>
        </w:numPr>
      </w:pPr>
      <w:r>
        <w:t>Put a check in the Specify authentication mode box and then choose Computer Authentication.</w:t>
      </w:r>
    </w:p>
    <w:p w14:paraId="5DF0CE94" w14:textId="77777777" w:rsidR="002B0E30" w:rsidRDefault="002B0E30" w:rsidP="006D54EA">
      <w:pPr>
        <w:pStyle w:val="BodyText"/>
        <w:numPr>
          <w:ilvl w:val="0"/>
          <w:numId w:val="31"/>
        </w:numPr>
      </w:pPr>
      <w:r>
        <w:t>Click OK. Click OK to close the final window.</w:t>
      </w:r>
    </w:p>
    <w:p w14:paraId="7A31E77E" w14:textId="77777777" w:rsidR="002B0E30" w:rsidRPr="002B0E30" w:rsidRDefault="002B0E30" w:rsidP="002B0E30">
      <w:pPr>
        <w:pStyle w:val="BodyText"/>
        <w:ind w:left="1429"/>
      </w:pPr>
    </w:p>
    <w:p w14:paraId="678AC3E8" w14:textId="77777777" w:rsidR="00A20E80" w:rsidRDefault="00A20E80" w:rsidP="009B642D">
      <w:pPr>
        <w:pStyle w:val="BodyText1"/>
      </w:pPr>
    </w:p>
    <w:p w14:paraId="518A944A" w14:textId="77777777" w:rsidR="00A20E80" w:rsidRDefault="002B0E30" w:rsidP="00C17ED0">
      <w:pPr>
        <w:pStyle w:val="BodyText1"/>
        <w:ind w:left="1429"/>
      </w:pPr>
      <w:r w:rsidRPr="00011A21">
        <w:rPr>
          <w:noProof/>
        </w:rPr>
        <w:drawing>
          <wp:inline distT="0" distB="0" distL="0" distR="0" wp14:anchorId="37F73E1C" wp14:editId="2316881F">
            <wp:extent cx="2533650" cy="337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3650" cy="3371850"/>
                    </a:xfrm>
                    <a:prstGeom prst="rect">
                      <a:avLst/>
                    </a:prstGeom>
                    <a:noFill/>
                    <a:ln>
                      <a:noFill/>
                    </a:ln>
                  </pic:spPr>
                </pic:pic>
              </a:graphicData>
            </a:graphic>
          </wp:inline>
        </w:drawing>
      </w:r>
    </w:p>
    <w:p w14:paraId="4C67C222" w14:textId="77777777" w:rsidR="006D54EA" w:rsidRDefault="002B0E30" w:rsidP="00CF071B">
      <w:pPr>
        <w:pStyle w:val="Caption"/>
      </w:pPr>
      <w:bookmarkStart w:id="26" w:name="_Toc18916428"/>
      <w:r>
        <w:t xml:space="preserve">Figure </w:t>
      </w:r>
      <w:fldSimple w:instr=" SEQ Figure \* ARABIC ">
        <w:r w:rsidR="00191DD1">
          <w:rPr>
            <w:noProof/>
          </w:rPr>
          <w:t>9</w:t>
        </w:r>
      </w:fldSimple>
      <w:r>
        <w:t xml:space="preserve"> - Authentication mode</w:t>
      </w:r>
      <w:bookmarkStart w:id="27" w:name="_Toc443911180"/>
      <w:bookmarkEnd w:id="26"/>
    </w:p>
    <w:p w14:paraId="438F77BB" w14:textId="77777777" w:rsidR="006D54EA" w:rsidRPr="006D54EA" w:rsidRDefault="006D54EA" w:rsidP="006D54EA">
      <w:pPr>
        <w:pStyle w:val="Heading3"/>
      </w:pPr>
      <w:r w:rsidRPr="006D54EA">
        <w:lastRenderedPageBreak/>
        <w:t>Configuration for wireless connection (Wi-Fi adapter)</w:t>
      </w:r>
      <w:bookmarkEnd w:id="27"/>
    </w:p>
    <w:p w14:paraId="71F1118E" w14:textId="77777777" w:rsidR="006D54EA" w:rsidRPr="006D54EA" w:rsidRDefault="006D54EA" w:rsidP="006D54EA">
      <w:pPr>
        <w:keepLines/>
        <w:numPr>
          <w:ilvl w:val="0"/>
          <w:numId w:val="15"/>
        </w:numPr>
        <w:tabs>
          <w:tab w:val="num" w:pos="360"/>
        </w:tabs>
        <w:spacing w:before="180" w:after="60" w:line="300" w:lineRule="atLeast"/>
        <w:ind w:left="851"/>
        <w:jc w:val="both"/>
        <w:rPr>
          <w:rFonts w:cs="Arial"/>
          <w:color w:val="000000"/>
          <w:spacing w:val="10"/>
          <w:sz w:val="20"/>
          <w:lang w:val="en-GB"/>
        </w:rPr>
      </w:pPr>
      <w:r w:rsidRPr="006D54EA">
        <w:rPr>
          <w:rFonts w:cs="Arial"/>
          <w:color w:val="000000"/>
          <w:spacing w:val="10"/>
          <w:sz w:val="20"/>
          <w:lang w:val="en-GB"/>
        </w:rPr>
        <w:t>There should be no need to enable any 802.1 Windows service for Wi-Fi since it is already enabled by default.</w:t>
      </w:r>
    </w:p>
    <w:p w14:paraId="483B5F82" w14:textId="77777777" w:rsidR="006D54EA" w:rsidRPr="006D54EA" w:rsidRDefault="006D54EA" w:rsidP="006D54EA">
      <w:pPr>
        <w:keepLines/>
        <w:numPr>
          <w:ilvl w:val="0"/>
          <w:numId w:val="15"/>
        </w:numPr>
        <w:tabs>
          <w:tab w:val="num" w:pos="360"/>
        </w:tabs>
        <w:spacing w:before="180" w:after="60" w:line="300" w:lineRule="atLeast"/>
        <w:ind w:left="851"/>
        <w:jc w:val="both"/>
        <w:rPr>
          <w:rFonts w:cs="Arial"/>
          <w:color w:val="000000"/>
          <w:spacing w:val="10"/>
          <w:sz w:val="20"/>
          <w:lang w:val="en-GB"/>
        </w:rPr>
      </w:pPr>
      <w:r w:rsidRPr="006D54EA">
        <w:rPr>
          <w:rFonts w:cs="Arial"/>
          <w:color w:val="000000"/>
          <w:spacing w:val="10"/>
          <w:sz w:val="20"/>
          <w:lang w:val="en-GB"/>
        </w:rPr>
        <w:t>However, you will need to configure the EAP supplicant for your wireless adapter.</w:t>
      </w:r>
    </w:p>
    <w:p w14:paraId="28CBDFDC" w14:textId="77777777" w:rsidR="006D54EA" w:rsidRPr="006D54EA" w:rsidRDefault="006D54EA" w:rsidP="006D54EA">
      <w:pPr>
        <w:keepLines/>
        <w:numPr>
          <w:ilvl w:val="0"/>
          <w:numId w:val="15"/>
        </w:numPr>
        <w:tabs>
          <w:tab w:val="num" w:pos="1985"/>
        </w:tabs>
        <w:spacing w:before="180" w:after="60" w:line="300" w:lineRule="atLeast"/>
        <w:ind w:left="851"/>
        <w:jc w:val="both"/>
        <w:rPr>
          <w:rFonts w:cs="Arial"/>
          <w:color w:val="000000"/>
          <w:spacing w:val="10"/>
          <w:sz w:val="20"/>
          <w:lang w:val="en-GB"/>
        </w:rPr>
      </w:pPr>
      <w:bookmarkStart w:id="28" w:name="_Toc443911181"/>
      <w:r w:rsidRPr="006D54EA">
        <w:rPr>
          <w:rFonts w:cs="Arial"/>
          <w:color w:val="000000"/>
          <w:spacing w:val="10"/>
          <w:sz w:val="20"/>
          <w:lang w:val="en-GB"/>
        </w:rPr>
        <w:t>Setting up the wireless EAP supplicant</w:t>
      </w:r>
      <w:bookmarkEnd w:id="28"/>
    </w:p>
    <w:p w14:paraId="3057C866"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Launch the Control Panel and Set up a new connection or network</w:t>
      </w:r>
    </w:p>
    <w:p w14:paraId="32AFC3DA" w14:textId="77777777" w:rsidR="006D54EA" w:rsidRPr="006D54EA" w:rsidRDefault="006D54EA" w:rsidP="00EF36DC">
      <w:pPr>
        <w:keepNext/>
        <w:spacing w:before="120" w:after="60" w:line="240" w:lineRule="auto"/>
        <w:ind w:left="720"/>
        <w:jc w:val="center"/>
        <w:rPr>
          <w:rFonts w:cs="Arial"/>
          <w:color w:val="000000"/>
          <w:spacing w:val="10"/>
          <w:sz w:val="20"/>
          <w:lang w:val="en-GB"/>
        </w:rPr>
      </w:pPr>
      <w:r w:rsidRPr="006D54EA">
        <w:rPr>
          <w:rFonts w:cs="Arial"/>
          <w:noProof/>
          <w:color w:val="000000"/>
          <w:spacing w:val="10"/>
          <w:sz w:val="20"/>
          <w:lang w:eastAsia="en-AU"/>
        </w:rPr>
        <w:drawing>
          <wp:inline distT="0" distB="0" distL="0" distR="0" wp14:anchorId="3270DFD5" wp14:editId="2F47CEAA">
            <wp:extent cx="4648200" cy="2962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8200" cy="2962275"/>
                    </a:xfrm>
                    <a:prstGeom prst="rect">
                      <a:avLst/>
                    </a:prstGeom>
                    <a:noFill/>
                    <a:ln>
                      <a:noFill/>
                    </a:ln>
                  </pic:spPr>
                </pic:pic>
              </a:graphicData>
            </a:graphic>
          </wp:inline>
        </w:drawing>
      </w:r>
    </w:p>
    <w:p w14:paraId="1BF95106" w14:textId="77777777" w:rsidR="006D54EA" w:rsidRPr="006D54EA" w:rsidRDefault="00CF071B" w:rsidP="00CF071B">
      <w:pPr>
        <w:pStyle w:val="Caption"/>
        <w:rPr>
          <w:rFonts w:cs="Arial"/>
          <w:color w:val="000000"/>
          <w:spacing w:val="10"/>
          <w:sz w:val="20"/>
          <w:lang w:val="en-GB"/>
        </w:rPr>
      </w:pPr>
      <w:bookmarkStart w:id="29" w:name="_Toc18916429"/>
      <w:r>
        <w:t xml:space="preserve">Figure </w:t>
      </w:r>
      <w:fldSimple w:instr=" SEQ Figure \* ARABIC ">
        <w:r w:rsidR="00191DD1">
          <w:rPr>
            <w:noProof/>
          </w:rPr>
          <w:t>10</w:t>
        </w:r>
      </w:fldSimple>
      <w:r>
        <w:t xml:space="preserve"> – Setup new network connection</w:t>
      </w:r>
      <w:bookmarkEnd w:id="29"/>
    </w:p>
    <w:p w14:paraId="46A609F4" w14:textId="77777777" w:rsidR="006D54EA" w:rsidRPr="006D54EA" w:rsidRDefault="006D54EA" w:rsidP="006D54EA">
      <w:pPr>
        <w:numPr>
          <w:ilvl w:val="3"/>
          <w:numId w:val="32"/>
        </w:numPr>
        <w:spacing w:before="0" w:after="60" w:line="300" w:lineRule="atLeast"/>
        <w:rPr>
          <w:rFonts w:cs="Arial"/>
          <w:bCs/>
          <w:color w:val="000000"/>
          <w:spacing w:val="10"/>
          <w:sz w:val="20"/>
          <w:lang w:val="en-GB"/>
        </w:rPr>
      </w:pPr>
      <w:r w:rsidRPr="006D54EA">
        <w:rPr>
          <w:rFonts w:cs="Arial"/>
          <w:color w:val="000000"/>
          <w:spacing w:val="10"/>
          <w:sz w:val="20"/>
          <w:lang w:val="en-GB"/>
        </w:rPr>
        <w:t>Choose manually connect to a wireless network and click Next.</w:t>
      </w:r>
    </w:p>
    <w:p w14:paraId="6AD8A703" w14:textId="77777777" w:rsid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drawing>
          <wp:inline distT="0" distB="0" distL="0" distR="0" wp14:anchorId="70D012E4" wp14:editId="7971AB70">
            <wp:extent cx="3057525" cy="2514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a:ln>
                      <a:noFill/>
                    </a:ln>
                  </pic:spPr>
                </pic:pic>
              </a:graphicData>
            </a:graphic>
          </wp:inline>
        </w:drawing>
      </w:r>
    </w:p>
    <w:p w14:paraId="148C01F9" w14:textId="77777777" w:rsidR="00CF071B" w:rsidRDefault="00CF071B" w:rsidP="006D54EA">
      <w:pPr>
        <w:keepNext/>
        <w:spacing w:before="120" w:after="60" w:line="240" w:lineRule="auto"/>
        <w:ind w:left="0"/>
        <w:jc w:val="center"/>
        <w:rPr>
          <w:rFonts w:cs="Arial"/>
          <w:color w:val="000000"/>
          <w:spacing w:val="10"/>
          <w:sz w:val="20"/>
          <w:lang w:val="en-GB"/>
        </w:rPr>
      </w:pPr>
    </w:p>
    <w:p w14:paraId="5A3465E0" w14:textId="77777777" w:rsidR="00CF071B" w:rsidRPr="006D54EA" w:rsidRDefault="00CF071B" w:rsidP="00CF071B">
      <w:pPr>
        <w:pStyle w:val="Caption"/>
        <w:rPr>
          <w:rFonts w:cs="Arial"/>
          <w:color w:val="000000"/>
          <w:spacing w:val="10"/>
          <w:sz w:val="20"/>
          <w:lang w:val="en-GB"/>
        </w:rPr>
      </w:pPr>
      <w:bookmarkStart w:id="30" w:name="_Toc18916430"/>
      <w:r>
        <w:t xml:space="preserve">Figure </w:t>
      </w:r>
      <w:fldSimple w:instr=" SEQ Figure \* ARABIC ">
        <w:r w:rsidR="00191DD1">
          <w:rPr>
            <w:noProof/>
          </w:rPr>
          <w:t>11</w:t>
        </w:r>
      </w:fldSimple>
      <w:r>
        <w:t xml:space="preserve"> – Manual connection</w:t>
      </w:r>
      <w:bookmarkEnd w:id="30"/>
    </w:p>
    <w:p w14:paraId="273539F6"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Enter ‘Corporate’ as the network name (SSID) and select WPA2-Enterprise Security type.  Click Next.</w:t>
      </w:r>
    </w:p>
    <w:p w14:paraId="3FFD684F" w14:textId="77777777" w:rsidR="006D54EA" w:rsidRP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lastRenderedPageBreak/>
        <w:drawing>
          <wp:inline distT="0" distB="0" distL="0" distR="0" wp14:anchorId="18CAD636" wp14:editId="38888619">
            <wp:extent cx="3933825" cy="3238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3825" cy="3238500"/>
                    </a:xfrm>
                    <a:prstGeom prst="rect">
                      <a:avLst/>
                    </a:prstGeom>
                    <a:noFill/>
                    <a:ln>
                      <a:noFill/>
                    </a:ln>
                  </pic:spPr>
                </pic:pic>
              </a:graphicData>
            </a:graphic>
          </wp:inline>
        </w:drawing>
      </w:r>
    </w:p>
    <w:p w14:paraId="779785A6" w14:textId="77777777" w:rsidR="006D54EA" w:rsidRPr="006D54EA" w:rsidRDefault="00CF071B" w:rsidP="00CF071B">
      <w:pPr>
        <w:pStyle w:val="Caption"/>
        <w:rPr>
          <w:rFonts w:cs="Arial"/>
          <w:color w:val="000000"/>
          <w:spacing w:val="10"/>
          <w:sz w:val="20"/>
          <w:lang w:val="en-GB"/>
        </w:rPr>
      </w:pPr>
      <w:bookmarkStart w:id="31" w:name="_Toc18916431"/>
      <w:r>
        <w:t xml:space="preserve">Figure </w:t>
      </w:r>
      <w:fldSimple w:instr=" SEQ Figure \* ARABIC ">
        <w:r w:rsidR="00191DD1">
          <w:rPr>
            <w:noProof/>
          </w:rPr>
          <w:t>12</w:t>
        </w:r>
      </w:fldSimple>
      <w:r>
        <w:t xml:space="preserve"> -  Network Name</w:t>
      </w:r>
      <w:bookmarkEnd w:id="31"/>
    </w:p>
    <w:p w14:paraId="0AEF212D"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On the following screen choose the Change connection settings option.</w:t>
      </w:r>
    </w:p>
    <w:p w14:paraId="12D8762B" w14:textId="77777777" w:rsidR="006D54EA" w:rsidRP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drawing>
          <wp:inline distT="0" distB="0" distL="0" distR="0" wp14:anchorId="688D3490" wp14:editId="0C265D18">
            <wp:extent cx="3933825" cy="3238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3825" cy="3238500"/>
                    </a:xfrm>
                    <a:prstGeom prst="rect">
                      <a:avLst/>
                    </a:prstGeom>
                    <a:noFill/>
                    <a:ln>
                      <a:noFill/>
                    </a:ln>
                  </pic:spPr>
                </pic:pic>
              </a:graphicData>
            </a:graphic>
          </wp:inline>
        </w:drawing>
      </w:r>
    </w:p>
    <w:p w14:paraId="153A19A7" w14:textId="77777777" w:rsidR="006D54EA" w:rsidRPr="006D54EA" w:rsidRDefault="00CF071B" w:rsidP="00CF071B">
      <w:pPr>
        <w:pStyle w:val="Caption"/>
        <w:rPr>
          <w:rFonts w:cs="Arial"/>
          <w:color w:val="000000"/>
          <w:spacing w:val="10"/>
          <w:sz w:val="20"/>
          <w:lang w:val="en-GB"/>
        </w:rPr>
      </w:pPr>
      <w:bookmarkStart w:id="32" w:name="_Toc18916432"/>
      <w:r>
        <w:t xml:space="preserve">Figure </w:t>
      </w:r>
      <w:fldSimple w:instr=" SEQ Figure \* ARABIC ">
        <w:r w:rsidR="00191DD1">
          <w:rPr>
            <w:noProof/>
          </w:rPr>
          <w:t>13</w:t>
        </w:r>
      </w:fldSimple>
      <w:r>
        <w:t xml:space="preserve"> Change connection settings</w:t>
      </w:r>
      <w:bookmarkEnd w:id="32"/>
    </w:p>
    <w:p w14:paraId="70F6E0D3"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Choose the Security tab.</w:t>
      </w:r>
    </w:p>
    <w:p w14:paraId="4A1BF198"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Select certificate as the authentication method.</w:t>
      </w:r>
    </w:p>
    <w:p w14:paraId="2D102046"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Click Settings.</w:t>
      </w:r>
    </w:p>
    <w:p w14:paraId="5EB2DEEA" w14:textId="77777777" w:rsidR="006D54EA" w:rsidRP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lastRenderedPageBreak/>
        <w:drawing>
          <wp:inline distT="0" distB="0" distL="0" distR="0" wp14:anchorId="36CE20F6" wp14:editId="1CD33C89">
            <wp:extent cx="28575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3657600"/>
                    </a:xfrm>
                    <a:prstGeom prst="rect">
                      <a:avLst/>
                    </a:prstGeom>
                    <a:noFill/>
                    <a:ln>
                      <a:noFill/>
                    </a:ln>
                  </pic:spPr>
                </pic:pic>
              </a:graphicData>
            </a:graphic>
          </wp:inline>
        </w:drawing>
      </w:r>
    </w:p>
    <w:p w14:paraId="0F1EADC6" w14:textId="77777777" w:rsidR="006D54EA" w:rsidRPr="006D54EA" w:rsidRDefault="00CF071B" w:rsidP="00CF071B">
      <w:pPr>
        <w:pStyle w:val="Caption"/>
        <w:rPr>
          <w:rFonts w:cs="Arial"/>
          <w:color w:val="000000"/>
          <w:spacing w:val="10"/>
          <w:sz w:val="20"/>
          <w:lang w:val="en-GB"/>
        </w:rPr>
      </w:pPr>
      <w:bookmarkStart w:id="33" w:name="_Toc18916433"/>
      <w:r>
        <w:t xml:space="preserve">Figure </w:t>
      </w:r>
      <w:fldSimple w:instr=" SEQ Figure \* ARABIC ">
        <w:r w:rsidR="00191DD1">
          <w:rPr>
            <w:noProof/>
          </w:rPr>
          <w:t>14</w:t>
        </w:r>
      </w:fldSimple>
      <w:r>
        <w:t xml:space="preserve"> – Connection security</w:t>
      </w:r>
      <w:bookmarkEnd w:id="33"/>
    </w:p>
    <w:p w14:paraId="26FD3496" w14:textId="77777777" w:rsidR="006D54EA" w:rsidRPr="006D54EA" w:rsidRDefault="006D54EA" w:rsidP="006D54EA">
      <w:pPr>
        <w:keepLines/>
        <w:numPr>
          <w:ilvl w:val="0"/>
          <w:numId w:val="15"/>
        </w:numPr>
        <w:tabs>
          <w:tab w:val="num" w:pos="360"/>
        </w:tabs>
        <w:spacing w:before="180" w:after="60" w:line="300" w:lineRule="atLeast"/>
        <w:ind w:left="851"/>
        <w:jc w:val="both"/>
        <w:rPr>
          <w:rFonts w:cs="Arial"/>
          <w:color w:val="000000"/>
          <w:spacing w:val="10"/>
          <w:sz w:val="20"/>
          <w:lang w:val="en-GB"/>
        </w:rPr>
      </w:pPr>
      <w:r w:rsidRPr="006D54EA">
        <w:rPr>
          <w:rFonts w:cs="Arial"/>
          <w:color w:val="000000"/>
          <w:spacing w:val="10"/>
          <w:sz w:val="20"/>
          <w:lang w:val="en-GB"/>
        </w:rPr>
        <w:t>When Settings opens:</w:t>
      </w:r>
    </w:p>
    <w:p w14:paraId="5AD7260C"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Check the box ‘Connect to these servers’ and enter ise.qgaaad.qld.gov.au</w:t>
      </w:r>
    </w:p>
    <w:p w14:paraId="0ADB861C"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Find the Go Daddy Trusted Root Certificate Authority – G2 and check it</w:t>
      </w:r>
    </w:p>
    <w:p w14:paraId="22B49B4B"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Check the box to not be prompted</w:t>
      </w:r>
    </w:p>
    <w:p w14:paraId="05B64BCA"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Click OK</w:t>
      </w:r>
    </w:p>
    <w:p w14:paraId="3D86390F" w14:textId="77777777" w:rsid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lastRenderedPageBreak/>
        <w:drawing>
          <wp:inline distT="0" distB="0" distL="0" distR="0" wp14:anchorId="6EC60BF7" wp14:editId="3EC5E569">
            <wp:extent cx="2857400" cy="406703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7935" cy="4067795"/>
                    </a:xfrm>
                    <a:prstGeom prst="rect">
                      <a:avLst/>
                    </a:prstGeom>
                    <a:noFill/>
                    <a:ln>
                      <a:noFill/>
                    </a:ln>
                  </pic:spPr>
                </pic:pic>
              </a:graphicData>
            </a:graphic>
          </wp:inline>
        </w:drawing>
      </w:r>
    </w:p>
    <w:p w14:paraId="6147C286" w14:textId="77777777" w:rsidR="00CF071B" w:rsidRDefault="00CF071B" w:rsidP="006D54EA">
      <w:pPr>
        <w:keepNext/>
        <w:spacing w:before="120" w:after="60" w:line="240" w:lineRule="auto"/>
        <w:ind w:left="0"/>
        <w:jc w:val="center"/>
        <w:rPr>
          <w:rFonts w:cs="Arial"/>
          <w:color w:val="000000"/>
          <w:spacing w:val="10"/>
          <w:sz w:val="20"/>
          <w:lang w:val="en-GB"/>
        </w:rPr>
      </w:pPr>
    </w:p>
    <w:p w14:paraId="18FE72DD" w14:textId="77777777" w:rsidR="00CF071B" w:rsidRPr="006D54EA" w:rsidRDefault="00CF071B" w:rsidP="00CF071B">
      <w:pPr>
        <w:pStyle w:val="Caption"/>
        <w:rPr>
          <w:rFonts w:cs="Arial"/>
          <w:color w:val="000000"/>
          <w:spacing w:val="10"/>
          <w:sz w:val="20"/>
          <w:lang w:val="en-GB"/>
        </w:rPr>
      </w:pPr>
      <w:bookmarkStart w:id="34" w:name="_Toc18916434"/>
      <w:r>
        <w:t xml:space="preserve">Figure </w:t>
      </w:r>
      <w:fldSimple w:instr=" SEQ Figure \* ARABIC ">
        <w:r w:rsidR="00191DD1">
          <w:rPr>
            <w:noProof/>
          </w:rPr>
          <w:t>15</w:t>
        </w:r>
      </w:fldSimple>
      <w:r>
        <w:t xml:space="preserve"> – Use certificate</w:t>
      </w:r>
      <w:bookmarkEnd w:id="34"/>
    </w:p>
    <w:p w14:paraId="74893623" w14:textId="77777777" w:rsidR="006D54EA" w:rsidRPr="006D54EA" w:rsidRDefault="006D54EA" w:rsidP="006D54EA">
      <w:pPr>
        <w:numPr>
          <w:ilvl w:val="3"/>
          <w:numId w:val="32"/>
        </w:numPr>
        <w:spacing w:before="0" w:after="60" w:line="300" w:lineRule="atLeast"/>
        <w:rPr>
          <w:rFonts w:cs="Arial"/>
          <w:color w:val="000000"/>
          <w:spacing w:val="10"/>
          <w:sz w:val="20"/>
          <w:lang w:val="en-GB"/>
        </w:rPr>
      </w:pPr>
      <w:r w:rsidRPr="006D54EA">
        <w:rPr>
          <w:rFonts w:cs="Arial"/>
          <w:color w:val="000000"/>
          <w:spacing w:val="10"/>
          <w:sz w:val="20"/>
          <w:lang w:val="en-GB"/>
        </w:rPr>
        <w:t>Click on Advanced Settings and Specify Computer authentication mode.  Click OK.  Click OK. Click Close.</w:t>
      </w:r>
    </w:p>
    <w:p w14:paraId="4EEEE336" w14:textId="77777777" w:rsidR="006D54EA" w:rsidRPr="006D54EA" w:rsidRDefault="006D54EA" w:rsidP="00EF36DC">
      <w:pPr>
        <w:keepNext/>
        <w:spacing w:before="120" w:after="60" w:line="240" w:lineRule="auto"/>
        <w:ind w:left="1418"/>
        <w:rPr>
          <w:rFonts w:cs="Arial"/>
          <w:color w:val="000000"/>
          <w:spacing w:val="10"/>
          <w:sz w:val="20"/>
          <w:lang w:val="en-GB"/>
        </w:rPr>
      </w:pPr>
      <w:r w:rsidRPr="006D54EA">
        <w:rPr>
          <w:rFonts w:cs="Arial"/>
          <w:noProof/>
          <w:color w:val="000000"/>
          <w:spacing w:val="10"/>
          <w:sz w:val="20"/>
          <w:lang w:eastAsia="en-AU"/>
        </w:rPr>
        <w:drawing>
          <wp:inline distT="0" distB="0" distL="0" distR="0" wp14:anchorId="48FECF86" wp14:editId="726C3479">
            <wp:extent cx="2601036" cy="3330381"/>
            <wp:effectExtent l="0" t="0" r="889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3462" cy="3333487"/>
                    </a:xfrm>
                    <a:prstGeom prst="rect">
                      <a:avLst/>
                    </a:prstGeom>
                    <a:noFill/>
                    <a:ln>
                      <a:noFill/>
                    </a:ln>
                  </pic:spPr>
                </pic:pic>
              </a:graphicData>
            </a:graphic>
          </wp:inline>
        </w:drawing>
      </w:r>
    </w:p>
    <w:p w14:paraId="3D8F6A41" w14:textId="77777777" w:rsidR="006D54EA" w:rsidRPr="006D54EA" w:rsidRDefault="00CF071B" w:rsidP="00CF071B">
      <w:pPr>
        <w:pStyle w:val="Caption"/>
        <w:rPr>
          <w:rFonts w:cs="Arial"/>
          <w:color w:val="000000"/>
          <w:spacing w:val="10"/>
          <w:sz w:val="20"/>
          <w:lang w:val="en-GB"/>
        </w:rPr>
      </w:pPr>
      <w:bookmarkStart w:id="35" w:name="_Toc18916435"/>
      <w:r>
        <w:t xml:space="preserve">Figure </w:t>
      </w:r>
      <w:fldSimple w:instr=" SEQ Figure \* ARABIC ">
        <w:r w:rsidR="00191DD1">
          <w:rPr>
            <w:noProof/>
          </w:rPr>
          <w:t>16</w:t>
        </w:r>
      </w:fldSimple>
      <w:r>
        <w:t xml:space="preserve"> – Authentication mode</w:t>
      </w:r>
      <w:bookmarkEnd w:id="35"/>
    </w:p>
    <w:p w14:paraId="41EC1F12" w14:textId="77777777" w:rsidR="002820D9" w:rsidRPr="002820D9" w:rsidRDefault="002820D9" w:rsidP="00327C30">
      <w:pPr>
        <w:pStyle w:val="Heading3"/>
      </w:pPr>
      <w:r w:rsidRPr="002820D9">
        <w:lastRenderedPageBreak/>
        <w:t>Assumptions</w:t>
      </w:r>
    </w:p>
    <w:p w14:paraId="1A70DF1E" w14:textId="77777777" w:rsidR="002820D9" w:rsidRPr="002820D9" w:rsidRDefault="002820D9" w:rsidP="009B642D">
      <w:pPr>
        <w:pStyle w:val="BodyText1"/>
      </w:pPr>
      <w:r w:rsidRPr="002820D9">
        <w:t xml:space="preserve">This </w:t>
      </w:r>
      <w:r w:rsidR="00327C30" w:rsidRPr="00327C30">
        <w:t>guideline</w:t>
      </w:r>
      <w:r w:rsidRPr="002820D9">
        <w:t xml:space="preserve"> assumes agency integration has been completed between DDA Shared Services and </w:t>
      </w:r>
      <w:r w:rsidR="00907B20">
        <w:t xml:space="preserve">an </w:t>
      </w:r>
      <w:r w:rsidRPr="002820D9">
        <w:t xml:space="preserve">agency network via either </w:t>
      </w:r>
      <w:r w:rsidR="00327C30">
        <w:t>QGN/</w:t>
      </w:r>
      <w:r w:rsidRPr="002820D9">
        <w:t xml:space="preserve">Govnet or </w:t>
      </w:r>
      <w:r w:rsidR="00327C30">
        <w:t>the i</w:t>
      </w:r>
      <w:r w:rsidRPr="002820D9">
        <w:t>nternet.</w:t>
      </w:r>
    </w:p>
    <w:p w14:paraId="772C32C0" w14:textId="77777777" w:rsidR="001548C7" w:rsidRPr="001548C7" w:rsidRDefault="00BA4423" w:rsidP="002820D9">
      <w:pPr>
        <w:pStyle w:val="Heading2"/>
      </w:pPr>
      <w:bookmarkStart w:id="36" w:name="_Toc18916419"/>
      <w:r>
        <w:t>Exemption g</w:t>
      </w:r>
      <w:r w:rsidR="00671A75">
        <w:t>uidelines</w:t>
      </w:r>
      <w:bookmarkEnd w:id="36"/>
    </w:p>
    <w:p w14:paraId="75A3DA12" w14:textId="77777777" w:rsidR="00671A75" w:rsidRDefault="00671A75" w:rsidP="009B642D">
      <w:pPr>
        <w:pStyle w:val="BodyText1"/>
      </w:pPr>
      <w:r>
        <w:t xml:space="preserve">Should an agency obtain an exemption from the Collaborative workspace policy it is the Queensland Governments expectation that the department should configure their own or outsourced network to utilise the 802.1x protocol in accordance with the AIS specifications documented under the detailed design relating to ITSS.1405A. </w:t>
      </w:r>
    </w:p>
    <w:p w14:paraId="29F1DB27" w14:textId="77777777" w:rsidR="00145E41" w:rsidRPr="00145E41" w:rsidRDefault="00671A75" w:rsidP="009B642D">
      <w:pPr>
        <w:pStyle w:val="BodyText1"/>
      </w:pPr>
      <w:r>
        <w:t xml:space="preserve">To obtain further information agencies should contact QGCIO, CITEC </w:t>
      </w:r>
      <w:r w:rsidR="008727D5">
        <w:t>and/</w:t>
      </w:r>
      <w:r>
        <w:t>or the 1WS contract directorate.</w:t>
      </w:r>
    </w:p>
    <w:p w14:paraId="3E712F53" w14:textId="77777777" w:rsidR="0022094E" w:rsidRDefault="0022094E" w:rsidP="00B12183">
      <w:pPr>
        <w:pStyle w:val="Heading1nonumber"/>
        <w:pageBreakBefore/>
      </w:pPr>
      <w:r w:rsidRPr="003E716D">
        <w:lastRenderedPageBreak/>
        <w:t>Document history</w:t>
      </w:r>
    </w:p>
    <w:p w14:paraId="173159EC" w14:textId="77777777" w:rsidR="008A1C76" w:rsidRPr="008A1C76" w:rsidRDefault="008A1C76" w:rsidP="008A1C76">
      <w:pPr>
        <w:pStyle w:val="Bodystylefordocumentdetails"/>
      </w:pPr>
    </w:p>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14:paraId="309CDCFE" w14:textId="77777777"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14:paraId="5B53733F" w14:textId="77777777" w:rsidR="001B7DE2" w:rsidRPr="009142A2" w:rsidRDefault="001B7DE2" w:rsidP="00766CCB">
            <w:pPr>
              <w:ind w:left="6"/>
            </w:pPr>
            <w:r w:rsidRPr="009142A2">
              <w:t>Version</w:t>
            </w:r>
          </w:p>
        </w:tc>
        <w:tc>
          <w:tcPr>
            <w:tcW w:w="1773" w:type="dxa"/>
          </w:tcPr>
          <w:p w14:paraId="2B7920CA" w14:textId="77777777"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14:paraId="60EBA43F" w14:textId="77777777"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14:paraId="4B08EDF0" w14:textId="77777777"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1B7DE2" w:rsidRPr="00FF3EF6" w14:paraId="3CBE47C4" w14:textId="77777777"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0CD6B6B9" w14:textId="77777777" w:rsidR="001B7DE2" w:rsidRPr="003E716D" w:rsidRDefault="001B7DE2" w:rsidP="00766CCB">
            <w:pPr>
              <w:ind w:left="0"/>
            </w:pPr>
            <w:r w:rsidRPr="003E716D">
              <w:t>0.0.1</w:t>
            </w:r>
          </w:p>
        </w:tc>
        <w:tc>
          <w:tcPr>
            <w:tcW w:w="1773" w:type="dxa"/>
          </w:tcPr>
          <w:p w14:paraId="242C7E66" w14:textId="77777777" w:rsidR="001B7DE2" w:rsidRPr="003E716D" w:rsidRDefault="00D435D8" w:rsidP="00766CCB">
            <w:pPr>
              <w:ind w:left="0"/>
              <w:cnfStyle w:val="000000000000" w:firstRow="0" w:lastRow="0" w:firstColumn="0" w:lastColumn="0" w:oddVBand="0" w:evenVBand="0" w:oddHBand="0" w:evenHBand="0" w:firstRowFirstColumn="0" w:firstRowLastColumn="0" w:lastRowFirstColumn="0" w:lastRowLastColumn="0"/>
            </w:pPr>
            <w:r>
              <w:t>First draft</w:t>
            </w:r>
          </w:p>
        </w:tc>
        <w:tc>
          <w:tcPr>
            <w:tcW w:w="2835" w:type="dxa"/>
          </w:tcPr>
          <w:p w14:paraId="59F9C274" w14:textId="77777777" w:rsidR="001B7DE2" w:rsidRPr="003E716D" w:rsidRDefault="00D435D8" w:rsidP="00766CCB">
            <w:pPr>
              <w:ind w:left="22"/>
              <w:cnfStyle w:val="000000000000" w:firstRow="0" w:lastRow="0" w:firstColumn="0" w:lastColumn="0" w:oddVBand="0" w:evenVBand="0" w:oddHBand="0" w:evenHBand="0" w:firstRowFirstColumn="0" w:firstRowLastColumn="0" w:lastRowFirstColumn="0" w:lastRowLastColumn="0"/>
            </w:pPr>
            <w:r>
              <w:t>Rod Muller</w:t>
            </w:r>
          </w:p>
        </w:tc>
        <w:tc>
          <w:tcPr>
            <w:tcW w:w="4252" w:type="dxa"/>
          </w:tcPr>
          <w:p w14:paraId="5DA5CD35" w14:textId="77777777" w:rsidR="001B7DE2" w:rsidRPr="003E716D" w:rsidRDefault="001B7DE2" w:rsidP="00766CCB">
            <w:pPr>
              <w:ind w:left="22"/>
              <w:cnfStyle w:val="000000000000" w:firstRow="0" w:lastRow="0" w:firstColumn="0" w:lastColumn="0" w:oddVBand="0" w:evenVBand="0" w:oddHBand="0" w:evenHBand="0" w:firstRowFirstColumn="0" w:firstRowLastColumn="0" w:lastRowFirstColumn="0" w:lastRowLastColumn="0"/>
            </w:pPr>
          </w:p>
        </w:tc>
      </w:tr>
      <w:tr w:rsidR="001B7DE2" w:rsidRPr="00FF3EF6" w14:paraId="6BF2416B" w14:textId="77777777"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14:paraId="6AD3F80D" w14:textId="77777777" w:rsidR="001B7DE2" w:rsidRPr="003E716D" w:rsidRDefault="00D435D8" w:rsidP="00766CCB">
            <w:pPr>
              <w:ind w:left="0"/>
            </w:pPr>
            <w:r>
              <w:t>0.0.2</w:t>
            </w:r>
          </w:p>
        </w:tc>
        <w:tc>
          <w:tcPr>
            <w:tcW w:w="1773" w:type="dxa"/>
          </w:tcPr>
          <w:p w14:paraId="60E0005C" w14:textId="77777777" w:rsidR="001B7DE2" w:rsidRPr="003E716D" w:rsidRDefault="00D435D8" w:rsidP="00766CCB">
            <w:pPr>
              <w:ind w:left="0"/>
              <w:cnfStyle w:val="000000000000" w:firstRow="0" w:lastRow="0" w:firstColumn="0" w:lastColumn="0" w:oddVBand="0" w:evenVBand="0" w:oddHBand="0" w:evenHBand="0" w:firstRowFirstColumn="0" w:firstRowLastColumn="0" w:lastRowFirstColumn="0" w:lastRowLastColumn="0"/>
            </w:pPr>
            <w:r>
              <w:t>Second draft</w:t>
            </w:r>
          </w:p>
        </w:tc>
        <w:tc>
          <w:tcPr>
            <w:tcW w:w="2835" w:type="dxa"/>
          </w:tcPr>
          <w:p w14:paraId="0C7AAA28" w14:textId="77777777" w:rsidR="001B7DE2" w:rsidRPr="003E716D" w:rsidRDefault="001057ED" w:rsidP="00766CCB">
            <w:pPr>
              <w:ind w:left="22"/>
              <w:cnfStyle w:val="000000000000" w:firstRow="0" w:lastRow="0" w:firstColumn="0" w:lastColumn="0" w:oddVBand="0" w:evenVBand="0" w:oddHBand="0" w:evenHBand="0" w:firstRowFirstColumn="0" w:firstRowLastColumn="0" w:lastRowFirstColumn="0" w:lastRowLastColumn="0"/>
            </w:pPr>
            <w:r>
              <w:t xml:space="preserve">Rod </w:t>
            </w:r>
            <w:r w:rsidR="00D435D8">
              <w:t>Muller</w:t>
            </w:r>
          </w:p>
        </w:tc>
        <w:tc>
          <w:tcPr>
            <w:tcW w:w="4252" w:type="dxa"/>
          </w:tcPr>
          <w:p w14:paraId="58DE871D" w14:textId="77777777" w:rsidR="001B7DE2" w:rsidRPr="003E716D" w:rsidRDefault="00D435D8" w:rsidP="00766CCB">
            <w:pPr>
              <w:ind w:left="22"/>
              <w:cnfStyle w:val="000000000000" w:firstRow="0" w:lastRow="0" w:firstColumn="0" w:lastColumn="0" w:oddVBand="0" w:evenVBand="0" w:oddHBand="0" w:evenHBand="0" w:firstRowFirstColumn="0" w:firstRowLastColumn="0" w:lastRowFirstColumn="0" w:lastRowLastColumn="0"/>
            </w:pPr>
            <w:r>
              <w:t>Added 802.1x certificates content</w:t>
            </w:r>
          </w:p>
        </w:tc>
      </w:tr>
      <w:tr w:rsidR="001B7DE2" w:rsidRPr="00FF3EF6" w14:paraId="0E8363E8" w14:textId="77777777"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14:paraId="47C49690" w14:textId="5B18A54C" w:rsidR="001B7DE2" w:rsidRPr="003E716D" w:rsidRDefault="00CF41CD" w:rsidP="00766CCB">
            <w:pPr>
              <w:ind w:left="0"/>
            </w:pPr>
            <w:r>
              <w:t>0.0.3-0.0.4</w:t>
            </w:r>
          </w:p>
        </w:tc>
        <w:tc>
          <w:tcPr>
            <w:tcW w:w="1773" w:type="dxa"/>
          </w:tcPr>
          <w:p w14:paraId="5BD0F358" w14:textId="0B797D81" w:rsidR="001B7DE2" w:rsidRPr="003E716D" w:rsidRDefault="00CF41CD" w:rsidP="00766CCB">
            <w:pPr>
              <w:ind w:left="0"/>
              <w:cnfStyle w:val="010000000000" w:firstRow="0" w:lastRow="1" w:firstColumn="0" w:lastColumn="0" w:oddVBand="0" w:evenVBand="0" w:oddHBand="0" w:evenHBand="0" w:firstRowFirstColumn="0" w:firstRowLastColumn="0" w:lastRowFirstColumn="0" w:lastRowLastColumn="0"/>
            </w:pPr>
            <w:r>
              <w:t>19 June 2017</w:t>
            </w:r>
          </w:p>
        </w:tc>
        <w:tc>
          <w:tcPr>
            <w:tcW w:w="2835" w:type="dxa"/>
          </w:tcPr>
          <w:p w14:paraId="7A14596C" w14:textId="02080FB2" w:rsidR="001B7DE2" w:rsidRPr="003E716D" w:rsidRDefault="00CF41CD" w:rsidP="00766CCB">
            <w:pPr>
              <w:ind w:left="22"/>
              <w:cnfStyle w:val="010000000000" w:firstRow="0" w:lastRow="1" w:firstColumn="0" w:lastColumn="0" w:oddVBand="0" w:evenVBand="0" w:oddHBand="0" w:evenHBand="0" w:firstRowFirstColumn="0" w:firstRowLastColumn="0" w:lastRowFirstColumn="0" w:lastRowLastColumn="0"/>
            </w:pPr>
            <w:r>
              <w:t>Policy &amp; Governance Team</w:t>
            </w:r>
          </w:p>
        </w:tc>
        <w:tc>
          <w:tcPr>
            <w:tcW w:w="4252" w:type="dxa"/>
          </w:tcPr>
          <w:p w14:paraId="79B777FF" w14:textId="379AFBCA" w:rsidR="001B7DE2" w:rsidRPr="003E716D" w:rsidRDefault="00CF41CD" w:rsidP="00766CCB">
            <w:pPr>
              <w:ind w:left="22"/>
              <w:cnfStyle w:val="010000000000" w:firstRow="0" w:lastRow="1" w:firstColumn="0" w:lastColumn="0" w:oddVBand="0" w:evenVBand="0" w:oddHBand="0" w:evenHBand="0" w:firstRowFirstColumn="0" w:firstRowLastColumn="0" w:lastRowFirstColumn="0" w:lastRowLastColumn="0"/>
            </w:pPr>
            <w:r>
              <w:t>Small changes – ready for informal consultation</w:t>
            </w:r>
          </w:p>
        </w:tc>
      </w:tr>
    </w:tbl>
    <w:p w14:paraId="619C6EE8" w14:textId="77777777" w:rsidR="00CA23BE" w:rsidRPr="00055798" w:rsidRDefault="00CA23BE" w:rsidP="006517B2">
      <w:pPr>
        <w:pStyle w:val="BodyText"/>
      </w:pPr>
    </w:p>
    <w:sectPr w:rsidR="00CA23BE" w:rsidRPr="00055798" w:rsidSect="00B5132B">
      <w:headerReference w:type="even" r:id="rId41"/>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2F0C7" w14:textId="77777777" w:rsidR="00F9247D" w:rsidRDefault="00F9247D" w:rsidP="00766CCB">
      <w:r>
        <w:separator/>
      </w:r>
    </w:p>
    <w:p w14:paraId="21ABEB6B" w14:textId="77777777" w:rsidR="00F9247D" w:rsidRDefault="00F9247D" w:rsidP="00766CCB"/>
    <w:p w14:paraId="5B733BB7" w14:textId="77777777" w:rsidR="00F9247D" w:rsidRDefault="00F9247D" w:rsidP="00766CCB"/>
    <w:p w14:paraId="6EC6BF22" w14:textId="77777777" w:rsidR="00F9247D" w:rsidRDefault="00F9247D" w:rsidP="00766CCB"/>
  </w:endnote>
  <w:endnote w:type="continuationSeparator" w:id="0">
    <w:p w14:paraId="53ECA402" w14:textId="77777777" w:rsidR="00F9247D" w:rsidRDefault="00F9247D" w:rsidP="00766CCB">
      <w:r>
        <w:continuationSeparator/>
      </w:r>
    </w:p>
    <w:p w14:paraId="385CC0A3" w14:textId="77777777" w:rsidR="00F9247D" w:rsidRDefault="00F9247D" w:rsidP="00766CCB"/>
    <w:p w14:paraId="5956F3DF" w14:textId="77777777" w:rsidR="00F9247D" w:rsidRDefault="00F9247D" w:rsidP="00766CCB"/>
    <w:p w14:paraId="77D696DD" w14:textId="77777777" w:rsidR="00F9247D" w:rsidRDefault="00F9247D"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altName w:val="MS Gothic"/>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AB2A" w14:textId="0C401C72" w:rsidR="005B011F" w:rsidRPr="006517B2" w:rsidRDefault="00DB239D" w:rsidP="00E55257">
    <w:pPr>
      <w:pStyle w:val="Footerred"/>
      <w:pBdr>
        <w:top w:val="single" w:sz="4" w:space="1" w:color="808080"/>
      </w:pBdr>
      <w:rPr>
        <w:color w:val="A6A6A6" w:themeColor="background1" w:themeShade="A6"/>
      </w:rPr>
    </w:pPr>
    <w:r>
      <w:rPr>
        <w:caps w:val="0"/>
        <w:color w:val="A6A6A6" w:themeColor="background1" w:themeShade="A6"/>
      </w:rPr>
      <w:t>Final</w:t>
    </w:r>
    <w:r w:rsidR="005B011F" w:rsidRPr="006517B2">
      <w:rPr>
        <w:caps w:val="0"/>
        <w:color w:val="A6A6A6" w:themeColor="background1" w:themeShade="A6"/>
      </w:rPr>
      <w:t xml:space="preserve"> </w:t>
    </w:r>
    <w:r w:rsidR="005B011F" w:rsidRPr="006517B2">
      <w:rPr>
        <w:rFonts w:cs="Arial"/>
        <w:caps w:val="0"/>
        <w:color w:val="A6A6A6" w:themeColor="background1" w:themeShade="A6"/>
      </w:rPr>
      <w:t>|</w:t>
    </w:r>
    <w:r w:rsidR="005B011F" w:rsidRPr="006517B2">
      <w:rPr>
        <w:caps w:val="0"/>
        <w:color w:val="A6A6A6" w:themeColor="background1" w:themeShade="A6"/>
      </w:rPr>
      <w:t xml:space="preserve"> </w:t>
    </w:r>
    <w:r w:rsidR="005B011F">
      <w:rPr>
        <w:caps w:val="0"/>
        <w:color w:val="A6A6A6" w:themeColor="background1" w:themeShade="A6"/>
      </w:rPr>
      <w:t>v</w:t>
    </w:r>
    <w:r>
      <w:rPr>
        <w:caps w:val="0"/>
        <w:color w:val="A6A6A6" w:themeColor="background1" w:themeShade="A6"/>
      </w:rPr>
      <w:t>1.0.0</w:t>
    </w:r>
    <w:r w:rsidR="005B011F">
      <w:rPr>
        <w:caps w:val="0"/>
        <w:color w:val="A6A6A6" w:themeColor="background1" w:themeShade="A6"/>
      </w:rPr>
      <w:t xml:space="preserve"> </w:t>
    </w:r>
    <w:r w:rsidR="005B011F" w:rsidRPr="006517B2">
      <w:rPr>
        <w:rFonts w:cs="Arial"/>
        <w:caps w:val="0"/>
        <w:color w:val="A6A6A6" w:themeColor="background1" w:themeShade="A6"/>
      </w:rPr>
      <w:t>|</w:t>
    </w:r>
    <w:r w:rsidR="005B011F" w:rsidRPr="006517B2">
      <w:rPr>
        <w:caps w:val="0"/>
        <w:color w:val="A6A6A6" w:themeColor="background1" w:themeShade="A6"/>
      </w:rPr>
      <w:t xml:space="preserve"> </w:t>
    </w:r>
    <w:r>
      <w:rPr>
        <w:caps w:val="0"/>
        <w:color w:val="A6A6A6" w:themeColor="background1" w:themeShade="A6"/>
      </w:rPr>
      <w:t xml:space="preserve">December </w:t>
    </w:r>
    <w:r w:rsidR="005B011F">
      <w:rPr>
        <w:caps w:val="0"/>
        <w:color w:val="A6A6A6" w:themeColor="background1" w:themeShade="A6"/>
      </w:rPr>
      <w:t>2017</w:t>
    </w:r>
    <w:r w:rsidR="005B011F" w:rsidRPr="006517B2">
      <w:rPr>
        <w:color w:val="A6A6A6" w:themeColor="background1" w:themeShade="A6"/>
      </w:rPr>
      <w:tab/>
    </w:r>
    <w:r w:rsidR="005B011F" w:rsidRPr="006517B2">
      <w:rPr>
        <w:color w:val="A6A6A6" w:themeColor="background1" w:themeShade="A6"/>
      </w:rPr>
      <w:tab/>
    </w:r>
    <w:r w:rsidR="005B011F" w:rsidRPr="006517B2">
      <w:rPr>
        <w:caps w:val="0"/>
        <w:color w:val="A6A6A6" w:themeColor="background1" w:themeShade="A6"/>
      </w:rPr>
      <w:t xml:space="preserve">Page </w:t>
    </w:r>
    <w:r w:rsidR="005B011F" w:rsidRPr="006517B2">
      <w:rPr>
        <w:caps w:val="0"/>
        <w:color w:val="A6A6A6" w:themeColor="background1" w:themeShade="A6"/>
      </w:rPr>
      <w:fldChar w:fldCharType="begin"/>
    </w:r>
    <w:r w:rsidR="005B011F" w:rsidRPr="006517B2">
      <w:rPr>
        <w:caps w:val="0"/>
        <w:color w:val="A6A6A6" w:themeColor="background1" w:themeShade="A6"/>
      </w:rPr>
      <w:instrText xml:space="preserve"> PAGE </w:instrText>
    </w:r>
    <w:r w:rsidR="005B011F" w:rsidRPr="006517B2">
      <w:rPr>
        <w:caps w:val="0"/>
        <w:color w:val="A6A6A6" w:themeColor="background1" w:themeShade="A6"/>
      </w:rPr>
      <w:fldChar w:fldCharType="separate"/>
    </w:r>
    <w:r>
      <w:rPr>
        <w:caps w:val="0"/>
        <w:noProof/>
        <w:color w:val="A6A6A6" w:themeColor="background1" w:themeShade="A6"/>
      </w:rPr>
      <w:t>14</w:t>
    </w:r>
    <w:r w:rsidR="005B011F" w:rsidRPr="006517B2">
      <w:rPr>
        <w:caps w:val="0"/>
        <w:color w:val="A6A6A6" w:themeColor="background1" w:themeShade="A6"/>
      </w:rPr>
      <w:fldChar w:fldCharType="end"/>
    </w:r>
    <w:r w:rsidR="005B011F" w:rsidRPr="006517B2">
      <w:rPr>
        <w:caps w:val="0"/>
        <w:color w:val="A6A6A6" w:themeColor="background1" w:themeShade="A6"/>
      </w:rPr>
      <w:t xml:space="preserve"> of </w:t>
    </w:r>
    <w:r w:rsidR="005B011F" w:rsidRPr="006517B2">
      <w:rPr>
        <w:caps w:val="0"/>
        <w:color w:val="A6A6A6" w:themeColor="background1" w:themeShade="A6"/>
      </w:rPr>
      <w:fldChar w:fldCharType="begin"/>
    </w:r>
    <w:r w:rsidR="005B011F" w:rsidRPr="006517B2">
      <w:rPr>
        <w:caps w:val="0"/>
        <w:color w:val="A6A6A6" w:themeColor="background1" w:themeShade="A6"/>
      </w:rPr>
      <w:instrText xml:space="preserve"> NUMPAGES </w:instrText>
    </w:r>
    <w:r w:rsidR="005B011F" w:rsidRPr="006517B2">
      <w:rPr>
        <w:caps w:val="0"/>
        <w:color w:val="A6A6A6" w:themeColor="background1" w:themeShade="A6"/>
      </w:rPr>
      <w:fldChar w:fldCharType="separate"/>
    </w:r>
    <w:r>
      <w:rPr>
        <w:caps w:val="0"/>
        <w:noProof/>
        <w:color w:val="A6A6A6" w:themeColor="background1" w:themeShade="A6"/>
      </w:rPr>
      <w:t>19</w:t>
    </w:r>
    <w:r w:rsidR="005B011F" w:rsidRPr="006517B2">
      <w:rPr>
        <w:caps w:val="0"/>
        <w:color w:val="A6A6A6" w:themeColor="background1" w:themeShade="A6"/>
      </w:rPr>
      <w:fldChar w:fldCharType="end"/>
    </w:r>
  </w:p>
  <w:p w14:paraId="48814ED0" w14:textId="10746C0C" w:rsidR="005B011F" w:rsidRPr="009773A9" w:rsidRDefault="00DB239D"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43DF" w14:textId="77777777" w:rsidR="005B011F" w:rsidRDefault="005B011F"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29D68" w14:textId="77777777" w:rsidR="00F9247D" w:rsidRDefault="00F9247D" w:rsidP="00766CCB">
      <w:r>
        <w:separator/>
      </w:r>
    </w:p>
  </w:footnote>
  <w:footnote w:type="continuationSeparator" w:id="0">
    <w:p w14:paraId="55E2D18D" w14:textId="77777777" w:rsidR="00F9247D" w:rsidRDefault="00F9247D" w:rsidP="00766CCB">
      <w:r>
        <w:continuationSeparator/>
      </w:r>
    </w:p>
  </w:footnote>
  <w:footnote w:type="continuationNotice" w:id="1">
    <w:p w14:paraId="55A78CFD" w14:textId="77777777" w:rsidR="00F9247D" w:rsidRDefault="00F9247D"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1B0A" w14:textId="2F4971D5" w:rsidR="005B011F" w:rsidRDefault="005B011F"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sidR="00DB239D">
      <w:rPr>
        <w:color w:val="FF0000"/>
        <w:sz w:val="16"/>
        <w:szCs w:val="16"/>
      </w:rPr>
      <w:t>PUBLIC</w:t>
    </w:r>
    <w:r>
      <w:tab/>
    </w:r>
    <w:r>
      <w:rPr>
        <w:sz w:val="16"/>
        <w:szCs w:val="16"/>
      </w:rPr>
      <w:t>Collaborative workspace guideline</w:t>
    </w:r>
  </w:p>
  <w:p w14:paraId="2C23349D" w14:textId="77777777" w:rsidR="005B011F" w:rsidRPr="00E55257" w:rsidRDefault="005B011F"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9FDF" w14:textId="77777777" w:rsidR="005B011F" w:rsidRDefault="005B011F" w:rsidP="006517B2">
    <w:pPr>
      <w:pStyle w:val="Header"/>
      <w:pBdr>
        <w:bottom w:val="none" w:sz="0" w:space="0" w:color="auto"/>
      </w:pBdr>
    </w:pPr>
    <w:r>
      <w:rPr>
        <w:noProof/>
      </w:rPr>
      <w:drawing>
        <wp:anchor distT="0" distB="0" distL="114300" distR="114300" simplePos="0" relativeHeight="251661312" behindDoc="1" locked="0" layoutInCell="1" allowOverlap="1" wp14:anchorId="5FD85EF5" wp14:editId="0ABFD38B">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233C9B" wp14:editId="6ED9009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FD404" w14:textId="77777777" w:rsidR="005B011F" w:rsidRPr="00A867F7" w:rsidRDefault="005B011F"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33C9B"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14:paraId="0AEFD404" w14:textId="77777777" w:rsidR="005B011F" w:rsidRPr="00A867F7" w:rsidRDefault="005B011F"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15F88B7B" wp14:editId="7B0BB370">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B54D9" w14:textId="77777777" w:rsidR="005B011F" w:rsidRDefault="005B011F"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styleLink w:val="DDBulletList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75F11"/>
    <w:multiLevelType w:val="hybridMultilevel"/>
    <w:tmpl w:val="AB7E81D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6C27D40"/>
    <w:multiLevelType w:val="hybridMultilevel"/>
    <w:tmpl w:val="F5B8403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0F630D5B"/>
    <w:multiLevelType w:val="hybridMultilevel"/>
    <w:tmpl w:val="04CA0DE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2A47F3E"/>
    <w:multiLevelType w:val="multilevel"/>
    <w:tmpl w:val="EF2E6314"/>
    <w:styleLink w:val="DDBulletList"/>
    <w:lvl w:ilvl="0">
      <w:start w:val="1"/>
      <w:numFmt w:val="bullet"/>
      <w:pStyle w:val="DDBullet1"/>
      <w:lvlText w:val="●"/>
      <w:lvlJc w:val="left"/>
      <w:pPr>
        <w:tabs>
          <w:tab w:val="num" w:pos="1134"/>
        </w:tabs>
        <w:ind w:left="1134" w:hanging="283"/>
      </w:pPr>
      <w:rPr>
        <w:rFonts w:ascii="Arial" w:hAnsi="Arial" w:cs="Arial" w:hint="default"/>
        <w:b w:val="0"/>
        <w:i w:val="0"/>
        <w:color w:val="000000"/>
        <w:spacing w:val="8"/>
        <w:sz w:val="20"/>
      </w:rPr>
    </w:lvl>
    <w:lvl w:ilvl="1">
      <w:start w:val="1"/>
      <w:numFmt w:val="bullet"/>
      <w:pStyle w:val="DDBullet2"/>
      <w:lvlText w:val="○"/>
      <w:lvlJc w:val="left"/>
      <w:pPr>
        <w:tabs>
          <w:tab w:val="num" w:pos="1418"/>
        </w:tabs>
        <w:ind w:left="1418" w:hanging="284"/>
      </w:pPr>
      <w:rPr>
        <w:rFonts w:ascii="Times New Roman" w:hAnsi="Times New Roman" w:cs="Times New Roman" w:hint="default"/>
        <w:b w:val="0"/>
        <w:i w:val="0"/>
        <w:color w:val="auto"/>
        <w:sz w:val="20"/>
      </w:rPr>
    </w:lvl>
    <w:lvl w:ilvl="2">
      <w:start w:val="1"/>
      <w:numFmt w:val="bullet"/>
      <w:pStyle w:val="DDBullet3"/>
      <w:lvlText w:val="-"/>
      <w:lvlJc w:val="left"/>
      <w:pPr>
        <w:tabs>
          <w:tab w:val="num" w:pos="1701"/>
        </w:tabs>
        <w:ind w:left="1701" w:hanging="283"/>
      </w:pPr>
      <w:rPr>
        <w:rFonts w:ascii="Times New Roman" w:hAnsi="Times New Roman" w:cs="Times New Roman" w:hint="default"/>
        <w:b/>
        <w:i w:val="0"/>
        <w:color w:val="auto"/>
        <w:sz w:val="20"/>
      </w:rPr>
    </w:lvl>
    <w:lvl w:ilvl="3">
      <w:start w:val="1"/>
      <w:numFmt w:val="decimal"/>
      <w:pStyle w:val="DDBullet4"/>
      <w:lvlText w:val="%4."/>
      <w:lvlJc w:val="left"/>
      <w:pPr>
        <w:tabs>
          <w:tab w:val="num" w:pos="1418"/>
        </w:tabs>
        <w:ind w:left="1418" w:hanging="567"/>
      </w:pPr>
      <w:rPr>
        <w:rFonts w:ascii="Arial" w:hAnsi="Arial" w:hint="default"/>
        <w:b w:val="0"/>
        <w:i w:val="0"/>
        <w:color w:val="auto"/>
        <w:spacing w:val="-20"/>
        <w:sz w:val="20"/>
        <w:szCs w:val="20"/>
      </w:rPr>
    </w:lvl>
    <w:lvl w:ilvl="4">
      <w:start w:val="1"/>
      <w:numFmt w:val="decimal"/>
      <w:pStyle w:val="DDBullet5"/>
      <w:lvlText w:val="%4.%5."/>
      <w:lvlJc w:val="left"/>
      <w:pPr>
        <w:tabs>
          <w:tab w:val="num" w:pos="1418"/>
        </w:tabs>
        <w:ind w:left="1418" w:hanging="567"/>
      </w:pPr>
      <w:rPr>
        <w:rFonts w:ascii="Arial" w:hAnsi="Arial" w:hint="default"/>
        <w:b w:val="0"/>
        <w:i w:val="0"/>
        <w:color w:val="auto"/>
        <w:spacing w:val="-20"/>
        <w:sz w:val="20"/>
        <w:szCs w:val="20"/>
      </w:rPr>
    </w:lvl>
    <w:lvl w:ilvl="5">
      <w:start w:val="1"/>
      <w:numFmt w:val="decimal"/>
      <w:pStyle w:val="DDBullet6"/>
      <w:lvlText w:val="%4.%5.%6."/>
      <w:lvlJc w:val="left"/>
      <w:pPr>
        <w:tabs>
          <w:tab w:val="num" w:pos="1418"/>
        </w:tabs>
        <w:ind w:left="1418" w:hanging="567"/>
      </w:pPr>
      <w:rPr>
        <w:rFonts w:ascii="Arial" w:hAnsi="Arial" w:hint="default"/>
        <w:b w:val="0"/>
        <w:i w:val="0"/>
        <w:color w:val="auto"/>
        <w:spacing w:val="-20"/>
        <w:sz w:val="20"/>
        <w:szCs w:val="20"/>
      </w:rPr>
    </w:lvl>
    <w:lvl w:ilvl="6">
      <w:start w:val="1"/>
      <w:numFmt w:val="decimal"/>
      <w:pStyle w:val="DDBullet7"/>
      <w:lvlText w:val="%7."/>
      <w:lvlJc w:val="left"/>
      <w:pPr>
        <w:tabs>
          <w:tab w:val="num" w:pos="1418"/>
        </w:tabs>
        <w:ind w:left="1418" w:hanging="567"/>
      </w:pPr>
      <w:rPr>
        <w:rFonts w:ascii="Arial" w:hAnsi="Arial" w:hint="default"/>
        <w:b w:val="0"/>
        <w:i w:val="0"/>
        <w:color w:val="auto"/>
        <w:sz w:val="20"/>
        <w:szCs w:val="20"/>
      </w:rPr>
    </w:lvl>
    <w:lvl w:ilvl="7">
      <w:start w:val="1"/>
      <w:numFmt w:val="lowerLetter"/>
      <w:pStyle w:val="DDBullet8"/>
      <w:lvlText w:val="%8."/>
      <w:lvlJc w:val="left"/>
      <w:pPr>
        <w:tabs>
          <w:tab w:val="num" w:pos="1985"/>
        </w:tabs>
        <w:ind w:left="1985" w:hanging="567"/>
      </w:pPr>
      <w:rPr>
        <w:rFonts w:ascii="Arial" w:hAnsi="Arial" w:hint="default"/>
        <w:b w:val="0"/>
        <w:i w:val="0"/>
        <w:color w:val="auto"/>
        <w:sz w:val="20"/>
        <w:szCs w:val="20"/>
      </w:rPr>
    </w:lvl>
    <w:lvl w:ilvl="8">
      <w:start w:val="1"/>
      <w:numFmt w:val="lowerRoman"/>
      <w:pStyle w:val="DDBullet9"/>
      <w:lvlText w:val="%9."/>
      <w:lvlJc w:val="left"/>
      <w:pPr>
        <w:tabs>
          <w:tab w:val="num" w:pos="2552"/>
        </w:tabs>
        <w:ind w:left="2552" w:hanging="567"/>
      </w:pPr>
      <w:rPr>
        <w:rFonts w:ascii="Arial" w:hAnsi="Arial" w:hint="default"/>
        <w:b w:val="0"/>
        <w:i w:val="0"/>
        <w:color w:val="auto"/>
        <w:sz w:val="20"/>
        <w:szCs w:val="20"/>
      </w:rPr>
    </w:lvl>
  </w:abstractNum>
  <w:abstractNum w:abstractNumId="18"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9" w15:restartNumberingAfterBreak="0">
    <w:nsid w:val="40FE7F1B"/>
    <w:multiLevelType w:val="hybridMultilevel"/>
    <w:tmpl w:val="FB069F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509B0863"/>
    <w:multiLevelType w:val="hybridMultilevel"/>
    <w:tmpl w:val="D35ADF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3EA008E"/>
    <w:multiLevelType w:val="hybridMultilevel"/>
    <w:tmpl w:val="F156EF8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15:restartNumberingAfterBreak="0">
    <w:nsid w:val="546621CE"/>
    <w:multiLevelType w:val="multilevel"/>
    <w:tmpl w:val="3D52E81C"/>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0" w15:restartNumberingAfterBreak="0">
    <w:nsid w:val="711742F0"/>
    <w:multiLevelType w:val="hybridMultilevel"/>
    <w:tmpl w:val="44FAA6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3" w15:restartNumberingAfterBreak="0">
    <w:nsid w:val="7D713B38"/>
    <w:multiLevelType w:val="hybridMultilevel"/>
    <w:tmpl w:val="0708FAB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6"/>
  </w:num>
  <w:num w:numId="13">
    <w:abstractNumId w:val="27"/>
  </w:num>
  <w:num w:numId="14">
    <w:abstractNumId w:val="18"/>
  </w:num>
  <w:num w:numId="15">
    <w:abstractNumId w:val="29"/>
  </w:num>
  <w:num w:numId="16">
    <w:abstractNumId w:val="28"/>
  </w:num>
  <w:num w:numId="17">
    <w:abstractNumId w:val="31"/>
  </w:num>
  <w:num w:numId="18">
    <w:abstractNumId w:val="25"/>
  </w:num>
  <w:num w:numId="19">
    <w:abstractNumId w:val="12"/>
  </w:num>
  <w:num w:numId="20">
    <w:abstractNumId w:val="14"/>
  </w:num>
  <w:num w:numId="21">
    <w:abstractNumId w:val="32"/>
  </w:num>
  <w:num w:numId="22">
    <w:abstractNumId w:val="15"/>
  </w:num>
  <w:num w:numId="23">
    <w:abstractNumId w:val="26"/>
  </w:num>
  <w:num w:numId="24">
    <w:abstractNumId w:val="21"/>
  </w:num>
  <w:num w:numId="25">
    <w:abstractNumId w:val="24"/>
  </w:num>
  <w:num w:numId="26">
    <w:abstractNumId w:val="23"/>
  </w:num>
  <w:num w:numId="27">
    <w:abstractNumId w:val="10"/>
  </w:num>
  <w:num w:numId="28">
    <w:abstractNumId w:val="30"/>
  </w:num>
  <w:num w:numId="29">
    <w:abstractNumId w:val="11"/>
  </w:num>
  <w:num w:numId="30">
    <w:abstractNumId w:val="17"/>
  </w:num>
  <w:num w:numId="31">
    <w:abstractNumId w:val="19"/>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D1"/>
    <w:rsid w:val="00010D0B"/>
    <w:rsid w:val="00013A6E"/>
    <w:rsid w:val="00023993"/>
    <w:rsid w:val="0003232D"/>
    <w:rsid w:val="000373DC"/>
    <w:rsid w:val="00045ECF"/>
    <w:rsid w:val="00055798"/>
    <w:rsid w:val="000624E0"/>
    <w:rsid w:val="000658E9"/>
    <w:rsid w:val="00067AC8"/>
    <w:rsid w:val="00072860"/>
    <w:rsid w:val="00076AFC"/>
    <w:rsid w:val="000852D2"/>
    <w:rsid w:val="0009304D"/>
    <w:rsid w:val="00094C82"/>
    <w:rsid w:val="000971C7"/>
    <w:rsid w:val="000A303E"/>
    <w:rsid w:val="000B13CF"/>
    <w:rsid w:val="000B62BB"/>
    <w:rsid w:val="000C0B75"/>
    <w:rsid w:val="000D158A"/>
    <w:rsid w:val="000D5487"/>
    <w:rsid w:val="000E2C15"/>
    <w:rsid w:val="000E4CEE"/>
    <w:rsid w:val="000E5D3E"/>
    <w:rsid w:val="000E655A"/>
    <w:rsid w:val="000F03BA"/>
    <w:rsid w:val="000F159E"/>
    <w:rsid w:val="00102AC2"/>
    <w:rsid w:val="001057ED"/>
    <w:rsid w:val="00132FE5"/>
    <w:rsid w:val="001348ED"/>
    <w:rsid w:val="00142BBB"/>
    <w:rsid w:val="00143885"/>
    <w:rsid w:val="00145E41"/>
    <w:rsid w:val="00150A2F"/>
    <w:rsid w:val="001548C7"/>
    <w:rsid w:val="0015571E"/>
    <w:rsid w:val="00161EDA"/>
    <w:rsid w:val="00162518"/>
    <w:rsid w:val="0016317D"/>
    <w:rsid w:val="0017064B"/>
    <w:rsid w:val="00173B48"/>
    <w:rsid w:val="00176B29"/>
    <w:rsid w:val="00181374"/>
    <w:rsid w:val="00191DD1"/>
    <w:rsid w:val="00191E69"/>
    <w:rsid w:val="00192F10"/>
    <w:rsid w:val="0019483B"/>
    <w:rsid w:val="001A239C"/>
    <w:rsid w:val="001B02EA"/>
    <w:rsid w:val="001B130F"/>
    <w:rsid w:val="001B45D5"/>
    <w:rsid w:val="001B7DE2"/>
    <w:rsid w:val="001C3407"/>
    <w:rsid w:val="001C5820"/>
    <w:rsid w:val="001C5E18"/>
    <w:rsid w:val="001C7971"/>
    <w:rsid w:val="001D0AB4"/>
    <w:rsid w:val="001D0B3B"/>
    <w:rsid w:val="001E4E73"/>
    <w:rsid w:val="001F5F67"/>
    <w:rsid w:val="001F5F8B"/>
    <w:rsid w:val="002071CB"/>
    <w:rsid w:val="00213943"/>
    <w:rsid w:val="00217165"/>
    <w:rsid w:val="0022094E"/>
    <w:rsid w:val="00230ABD"/>
    <w:rsid w:val="00237DA5"/>
    <w:rsid w:val="00237E7E"/>
    <w:rsid w:val="00250E15"/>
    <w:rsid w:val="00251BA2"/>
    <w:rsid w:val="00261FB8"/>
    <w:rsid w:val="00262BC5"/>
    <w:rsid w:val="002714BB"/>
    <w:rsid w:val="00274FB7"/>
    <w:rsid w:val="00280BC6"/>
    <w:rsid w:val="002820D9"/>
    <w:rsid w:val="00282E8A"/>
    <w:rsid w:val="00294748"/>
    <w:rsid w:val="00296E03"/>
    <w:rsid w:val="002A49E3"/>
    <w:rsid w:val="002A69A8"/>
    <w:rsid w:val="002B014A"/>
    <w:rsid w:val="002B0E30"/>
    <w:rsid w:val="002B4138"/>
    <w:rsid w:val="002B5A78"/>
    <w:rsid w:val="002C4084"/>
    <w:rsid w:val="002D4049"/>
    <w:rsid w:val="002E5DE8"/>
    <w:rsid w:val="002F118D"/>
    <w:rsid w:val="002F2258"/>
    <w:rsid w:val="002F77AE"/>
    <w:rsid w:val="00307640"/>
    <w:rsid w:val="0031308B"/>
    <w:rsid w:val="0031375B"/>
    <w:rsid w:val="00321AFA"/>
    <w:rsid w:val="00327C30"/>
    <w:rsid w:val="003314EE"/>
    <w:rsid w:val="00335B2D"/>
    <w:rsid w:val="003436FE"/>
    <w:rsid w:val="0034633D"/>
    <w:rsid w:val="00363D56"/>
    <w:rsid w:val="00371AD6"/>
    <w:rsid w:val="003759A6"/>
    <w:rsid w:val="00384FEB"/>
    <w:rsid w:val="0039642A"/>
    <w:rsid w:val="00396CB1"/>
    <w:rsid w:val="00396DF4"/>
    <w:rsid w:val="003A26F6"/>
    <w:rsid w:val="003A5399"/>
    <w:rsid w:val="003B1F14"/>
    <w:rsid w:val="003B1F45"/>
    <w:rsid w:val="003B5C4B"/>
    <w:rsid w:val="003C3A7F"/>
    <w:rsid w:val="003D06B1"/>
    <w:rsid w:val="003D2B38"/>
    <w:rsid w:val="003E2854"/>
    <w:rsid w:val="003E716D"/>
    <w:rsid w:val="003E735F"/>
    <w:rsid w:val="003F0240"/>
    <w:rsid w:val="003F3430"/>
    <w:rsid w:val="003F4D98"/>
    <w:rsid w:val="003F622F"/>
    <w:rsid w:val="00402910"/>
    <w:rsid w:val="00407D8F"/>
    <w:rsid w:val="00425443"/>
    <w:rsid w:val="00446E17"/>
    <w:rsid w:val="00465527"/>
    <w:rsid w:val="00485DEE"/>
    <w:rsid w:val="004A6FEB"/>
    <w:rsid w:val="004B14A0"/>
    <w:rsid w:val="004C22CB"/>
    <w:rsid w:val="004C694F"/>
    <w:rsid w:val="004C7045"/>
    <w:rsid w:val="004D353E"/>
    <w:rsid w:val="004D3880"/>
    <w:rsid w:val="004D63D6"/>
    <w:rsid w:val="004F0A9A"/>
    <w:rsid w:val="004F3D74"/>
    <w:rsid w:val="00503B8B"/>
    <w:rsid w:val="00506597"/>
    <w:rsid w:val="005070CB"/>
    <w:rsid w:val="00527E24"/>
    <w:rsid w:val="0053138B"/>
    <w:rsid w:val="00537EA2"/>
    <w:rsid w:val="005452FB"/>
    <w:rsid w:val="00560E74"/>
    <w:rsid w:val="00571312"/>
    <w:rsid w:val="005750A7"/>
    <w:rsid w:val="005757D8"/>
    <w:rsid w:val="005866FC"/>
    <w:rsid w:val="00591588"/>
    <w:rsid w:val="00596796"/>
    <w:rsid w:val="005A54F1"/>
    <w:rsid w:val="005A5F28"/>
    <w:rsid w:val="005B011F"/>
    <w:rsid w:val="005B3086"/>
    <w:rsid w:val="005D65A5"/>
    <w:rsid w:val="005E5065"/>
    <w:rsid w:val="005E7B99"/>
    <w:rsid w:val="005F34B3"/>
    <w:rsid w:val="005F6BFE"/>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1A75"/>
    <w:rsid w:val="00676FEE"/>
    <w:rsid w:val="00677657"/>
    <w:rsid w:val="00677B28"/>
    <w:rsid w:val="00680847"/>
    <w:rsid w:val="00683E19"/>
    <w:rsid w:val="006910B3"/>
    <w:rsid w:val="006A4F21"/>
    <w:rsid w:val="006A7B9C"/>
    <w:rsid w:val="006B22B2"/>
    <w:rsid w:val="006B2302"/>
    <w:rsid w:val="006B4CFD"/>
    <w:rsid w:val="006B6233"/>
    <w:rsid w:val="006C7A5F"/>
    <w:rsid w:val="006C7E44"/>
    <w:rsid w:val="006D54EA"/>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69EF"/>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727D5"/>
    <w:rsid w:val="008730F0"/>
    <w:rsid w:val="008876B7"/>
    <w:rsid w:val="008952B9"/>
    <w:rsid w:val="008959E0"/>
    <w:rsid w:val="008A1C76"/>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07B2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A5B89"/>
    <w:rsid w:val="009B642D"/>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0E80"/>
    <w:rsid w:val="00A23244"/>
    <w:rsid w:val="00A2418A"/>
    <w:rsid w:val="00A3281A"/>
    <w:rsid w:val="00A33C4B"/>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1EA4"/>
    <w:rsid w:val="00AE6D7D"/>
    <w:rsid w:val="00AF4AF7"/>
    <w:rsid w:val="00AF55DD"/>
    <w:rsid w:val="00B12183"/>
    <w:rsid w:val="00B12296"/>
    <w:rsid w:val="00B133C5"/>
    <w:rsid w:val="00B155B4"/>
    <w:rsid w:val="00B21214"/>
    <w:rsid w:val="00B23AA9"/>
    <w:rsid w:val="00B25278"/>
    <w:rsid w:val="00B30BCE"/>
    <w:rsid w:val="00B31FA8"/>
    <w:rsid w:val="00B34784"/>
    <w:rsid w:val="00B44DAE"/>
    <w:rsid w:val="00B5132B"/>
    <w:rsid w:val="00B53029"/>
    <w:rsid w:val="00B70BAE"/>
    <w:rsid w:val="00B7315F"/>
    <w:rsid w:val="00B767E0"/>
    <w:rsid w:val="00B76A1B"/>
    <w:rsid w:val="00B97C38"/>
    <w:rsid w:val="00BA1B72"/>
    <w:rsid w:val="00BA4423"/>
    <w:rsid w:val="00BB2720"/>
    <w:rsid w:val="00BB41D1"/>
    <w:rsid w:val="00BB472B"/>
    <w:rsid w:val="00BC29DC"/>
    <w:rsid w:val="00BD0119"/>
    <w:rsid w:val="00BD0C70"/>
    <w:rsid w:val="00BD48E2"/>
    <w:rsid w:val="00BE083C"/>
    <w:rsid w:val="00BE120B"/>
    <w:rsid w:val="00BE460E"/>
    <w:rsid w:val="00BF0771"/>
    <w:rsid w:val="00BF083E"/>
    <w:rsid w:val="00BF4985"/>
    <w:rsid w:val="00BF62D8"/>
    <w:rsid w:val="00BF6FA0"/>
    <w:rsid w:val="00C0176B"/>
    <w:rsid w:val="00C02707"/>
    <w:rsid w:val="00C03CF2"/>
    <w:rsid w:val="00C04112"/>
    <w:rsid w:val="00C07B7C"/>
    <w:rsid w:val="00C17ED0"/>
    <w:rsid w:val="00C21003"/>
    <w:rsid w:val="00C314B4"/>
    <w:rsid w:val="00C4004B"/>
    <w:rsid w:val="00C400B3"/>
    <w:rsid w:val="00C40C29"/>
    <w:rsid w:val="00C43C82"/>
    <w:rsid w:val="00C4432A"/>
    <w:rsid w:val="00C61919"/>
    <w:rsid w:val="00C72637"/>
    <w:rsid w:val="00C778F4"/>
    <w:rsid w:val="00C80CC4"/>
    <w:rsid w:val="00CA23BE"/>
    <w:rsid w:val="00CA30A2"/>
    <w:rsid w:val="00CA72BA"/>
    <w:rsid w:val="00CA79F6"/>
    <w:rsid w:val="00CB10EF"/>
    <w:rsid w:val="00CB5ADB"/>
    <w:rsid w:val="00CB7AFA"/>
    <w:rsid w:val="00CC6BA5"/>
    <w:rsid w:val="00CC7907"/>
    <w:rsid w:val="00CD010E"/>
    <w:rsid w:val="00CD1B79"/>
    <w:rsid w:val="00CF071B"/>
    <w:rsid w:val="00CF41CD"/>
    <w:rsid w:val="00D025ED"/>
    <w:rsid w:val="00D03743"/>
    <w:rsid w:val="00D1459E"/>
    <w:rsid w:val="00D16D58"/>
    <w:rsid w:val="00D23DDF"/>
    <w:rsid w:val="00D24DDF"/>
    <w:rsid w:val="00D34416"/>
    <w:rsid w:val="00D34600"/>
    <w:rsid w:val="00D35B3E"/>
    <w:rsid w:val="00D40D58"/>
    <w:rsid w:val="00D431C0"/>
    <w:rsid w:val="00D435D8"/>
    <w:rsid w:val="00D4635A"/>
    <w:rsid w:val="00D545BE"/>
    <w:rsid w:val="00D65970"/>
    <w:rsid w:val="00D74334"/>
    <w:rsid w:val="00D751D9"/>
    <w:rsid w:val="00D76140"/>
    <w:rsid w:val="00D76875"/>
    <w:rsid w:val="00D7711E"/>
    <w:rsid w:val="00D771C1"/>
    <w:rsid w:val="00D8192C"/>
    <w:rsid w:val="00D826F2"/>
    <w:rsid w:val="00D8464E"/>
    <w:rsid w:val="00D97333"/>
    <w:rsid w:val="00DA01C9"/>
    <w:rsid w:val="00DA0BD7"/>
    <w:rsid w:val="00DA7412"/>
    <w:rsid w:val="00DB10DB"/>
    <w:rsid w:val="00DB239D"/>
    <w:rsid w:val="00DB5961"/>
    <w:rsid w:val="00DD27BE"/>
    <w:rsid w:val="00DD2812"/>
    <w:rsid w:val="00DD4464"/>
    <w:rsid w:val="00DE6BBA"/>
    <w:rsid w:val="00DF617A"/>
    <w:rsid w:val="00E0213E"/>
    <w:rsid w:val="00E03F78"/>
    <w:rsid w:val="00E21617"/>
    <w:rsid w:val="00E21E6F"/>
    <w:rsid w:val="00E322F0"/>
    <w:rsid w:val="00E45264"/>
    <w:rsid w:val="00E46E22"/>
    <w:rsid w:val="00E55257"/>
    <w:rsid w:val="00E622C0"/>
    <w:rsid w:val="00E6416D"/>
    <w:rsid w:val="00E64BAF"/>
    <w:rsid w:val="00E77924"/>
    <w:rsid w:val="00E81F59"/>
    <w:rsid w:val="00E839CE"/>
    <w:rsid w:val="00E84715"/>
    <w:rsid w:val="00E91DDC"/>
    <w:rsid w:val="00E92294"/>
    <w:rsid w:val="00E928EA"/>
    <w:rsid w:val="00E97B21"/>
    <w:rsid w:val="00EA2A20"/>
    <w:rsid w:val="00EA2B80"/>
    <w:rsid w:val="00EA4627"/>
    <w:rsid w:val="00EA5099"/>
    <w:rsid w:val="00EA6654"/>
    <w:rsid w:val="00EB54D2"/>
    <w:rsid w:val="00ED3E28"/>
    <w:rsid w:val="00ED6D99"/>
    <w:rsid w:val="00ED727B"/>
    <w:rsid w:val="00EE390B"/>
    <w:rsid w:val="00EE550E"/>
    <w:rsid w:val="00EE74F6"/>
    <w:rsid w:val="00EF2086"/>
    <w:rsid w:val="00EF296A"/>
    <w:rsid w:val="00EF36DC"/>
    <w:rsid w:val="00EF4261"/>
    <w:rsid w:val="00F048EC"/>
    <w:rsid w:val="00F05A09"/>
    <w:rsid w:val="00F14A7C"/>
    <w:rsid w:val="00F21697"/>
    <w:rsid w:val="00F34819"/>
    <w:rsid w:val="00F4173F"/>
    <w:rsid w:val="00F4551C"/>
    <w:rsid w:val="00F54BF4"/>
    <w:rsid w:val="00F70F35"/>
    <w:rsid w:val="00F805E1"/>
    <w:rsid w:val="00F8116C"/>
    <w:rsid w:val="00F818D6"/>
    <w:rsid w:val="00F91A78"/>
    <w:rsid w:val="00F9247D"/>
    <w:rsid w:val="00F92DD8"/>
    <w:rsid w:val="00FA52B9"/>
    <w:rsid w:val="00FA6C1E"/>
    <w:rsid w:val="00FB1547"/>
    <w:rsid w:val="00FB5186"/>
    <w:rsid w:val="00FC066D"/>
    <w:rsid w:val="00FC0841"/>
    <w:rsid w:val="00FC1E4A"/>
    <w:rsid w:val="00FC64FF"/>
    <w:rsid w:val="00FD1DE8"/>
    <w:rsid w:val="00FD2218"/>
    <w:rsid w:val="00FD3E94"/>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C68A98A"/>
  <w15:docId w15:val="{0BDE60CD-6009-49A2-98DE-73EEE48A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8"/>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2820D9"/>
    <w:pPr>
      <w:numPr>
        <w:ilvl w:val="1"/>
      </w:numPr>
      <w:shd w:val="clear" w:color="auto" w:fill="auto"/>
      <w:spacing w:before="320" w:after="100"/>
      <w:outlineLvl w:val="1"/>
    </w:pPr>
    <w:rPr>
      <w:rFonts w:ascii="Calibri" w:eastAsia="Calibri" w:hAnsi="Calibri"/>
      <w:bCs w:val="0"/>
      <w:color w:val="5F5F5F"/>
      <w:sz w:val="28"/>
      <w:szCs w:val="22"/>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8"/>
      </w:numPr>
      <w:outlineLvl w:val="5"/>
    </w:pPr>
    <w:rPr>
      <w:lang w:val="en-US"/>
    </w:rPr>
  </w:style>
  <w:style w:type="paragraph" w:styleId="Heading7">
    <w:name w:val="heading 7"/>
    <w:basedOn w:val="BodyText"/>
    <w:next w:val="BodyText"/>
    <w:rsid w:val="0003232D"/>
    <w:pPr>
      <w:numPr>
        <w:ilvl w:val="6"/>
        <w:numId w:val="18"/>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8"/>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8"/>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9"/>
      </w:numPr>
      <w:spacing w:before="40" w:after="40"/>
    </w:pPr>
    <w:rPr>
      <w:szCs w:val="22"/>
      <w:lang w:eastAsia="en-AU"/>
    </w:rPr>
  </w:style>
  <w:style w:type="paragraph" w:customStyle="1" w:styleId="Tablebulletdash">
    <w:name w:val="Table bullet dash"/>
    <w:basedOn w:val="TableText"/>
    <w:rsid w:val="00045ECF"/>
    <w:pPr>
      <w:numPr>
        <w:ilvl w:val="1"/>
        <w:numId w:val="19"/>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CF071B"/>
    <w:pPr>
      <w:spacing w:before="220" w:after="330" w:line="260" w:lineRule="atLeast"/>
      <w:ind w:left="1440"/>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3"/>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2820D9"/>
    <w:rPr>
      <w:rFonts w:ascii="Calibri" w:eastAsia="Calibri" w:hAnsi="Calibri" w:cs="Arial"/>
      <w:b/>
      <w:color w:val="5F5F5F"/>
      <w:sz w:val="28"/>
      <w:szCs w:val="22"/>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1"/>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2"/>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9B642D"/>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766CCB"/>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0"/>
      </w:numPr>
    </w:pPr>
  </w:style>
  <w:style w:type="character" w:customStyle="1" w:styleId="BodytextChar0">
    <w:name w:val="Body text Char"/>
    <w:basedOn w:val="BodyTextChar"/>
    <w:link w:val="BodyText1"/>
    <w:rsid w:val="009B642D"/>
    <w:rPr>
      <w:rFonts w:ascii="Arial" w:hAnsi="Arial"/>
      <w:sz w:val="22"/>
    </w:rPr>
  </w:style>
  <w:style w:type="paragraph" w:customStyle="1" w:styleId="Numberlist1">
    <w:name w:val="Number list 1"/>
    <w:basedOn w:val="Bullet3"/>
    <w:link w:val="Numberlist1Char"/>
    <w:autoRedefine/>
    <w:qFormat/>
    <w:rsid w:val="00766CCB"/>
    <w:pPr>
      <w:numPr>
        <w:ilvl w:val="0"/>
        <w:numId w:val="24"/>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24"/>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4"/>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Calibri" w:eastAsia="Calibri" w:hAnsi="Calibri" w:cs="Arial"/>
      <w:b/>
      <w:color w:val="5F5F5F"/>
      <w:kern w:val="24"/>
      <w:sz w:val="22"/>
      <w:szCs w:val="24"/>
    </w:rPr>
  </w:style>
  <w:style w:type="character" w:customStyle="1" w:styleId="Appendix3Char">
    <w:name w:val="Appendix 3 Char"/>
    <w:basedOn w:val="Heading3Char"/>
    <w:link w:val="Appendix3"/>
    <w:rsid w:val="00766CCB"/>
    <w:rPr>
      <w:rFonts w:ascii="Calibri" w:eastAsia="Calibri" w:hAnsi="Calibri" w:cs="Arial"/>
      <w:b/>
      <w:color w:val="5F5F5F"/>
      <w:kern w:val="24"/>
      <w:sz w:val="22"/>
      <w:szCs w:val="24"/>
    </w:rPr>
  </w:style>
  <w:style w:type="character" w:customStyle="1" w:styleId="Appendixlvl3Char">
    <w:name w:val="Appendix lvl 3 Char"/>
    <w:basedOn w:val="Appendix3Char"/>
    <w:link w:val="Appendixlvl3"/>
    <w:rsid w:val="00766CCB"/>
    <w:rPr>
      <w:rFonts w:ascii="Calibri" w:eastAsia="Calibri" w:hAnsi="Calibri"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Calibri" w:eastAsia="Calibri" w:hAnsi="Calibri" w:cs="Arial"/>
      <w:b/>
      <w:color w:val="5F5F5F"/>
      <w:sz w:val="28"/>
      <w:szCs w:val="22"/>
    </w:rPr>
  </w:style>
  <w:style w:type="character" w:customStyle="1" w:styleId="Appendixlvl2Char">
    <w:name w:val="Appendix lvl 2 Char"/>
    <w:basedOn w:val="Appendix2Char"/>
    <w:link w:val="Appendixlvl2"/>
    <w:rsid w:val="00FA6C1E"/>
    <w:rPr>
      <w:rFonts w:ascii="Calibri" w:eastAsia="Calibri" w:hAnsi="Calibri" w:cs="Arial"/>
      <w:b/>
      <w:color w:val="5F5F5F"/>
      <w:sz w:val="28"/>
      <w:szCs w:val="22"/>
    </w:rPr>
  </w:style>
  <w:style w:type="character" w:customStyle="1" w:styleId="Appendix4Char">
    <w:name w:val="Appendix 4 Char"/>
    <w:basedOn w:val="Appendix3Char"/>
    <w:link w:val="Appendix4"/>
    <w:semiHidden/>
    <w:rsid w:val="00766CCB"/>
    <w:rPr>
      <w:rFonts w:ascii="Calibri" w:eastAsia="Calibri" w:hAnsi="Calibri"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Calibri" w:eastAsia="Calibri" w:hAnsi="Calibri"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paragraph" w:styleId="ListParagraph">
    <w:name w:val="List Paragraph"/>
    <w:basedOn w:val="Normal"/>
    <w:uiPriority w:val="34"/>
    <w:rsid w:val="00327C30"/>
    <w:pPr>
      <w:ind w:left="720"/>
      <w:contextualSpacing/>
    </w:pPr>
  </w:style>
  <w:style w:type="numbering" w:customStyle="1" w:styleId="DDBulletList">
    <w:name w:val="_DD Bullet List"/>
    <w:rsid w:val="00D34600"/>
    <w:pPr>
      <w:numPr>
        <w:numId w:val="30"/>
      </w:numPr>
    </w:pPr>
  </w:style>
  <w:style w:type="paragraph" w:customStyle="1" w:styleId="DDBullet1">
    <w:name w:val="DD Bullet 1"/>
    <w:link w:val="DDBullet1Char"/>
    <w:uiPriority w:val="1"/>
    <w:qFormat/>
    <w:rsid w:val="00D34600"/>
    <w:pPr>
      <w:keepLines/>
      <w:numPr>
        <w:numId w:val="30"/>
      </w:numPr>
      <w:spacing w:before="60" w:after="60" w:line="300" w:lineRule="atLeast"/>
    </w:pPr>
    <w:rPr>
      <w:rFonts w:ascii="Arial" w:hAnsi="Arial" w:cs="Arial"/>
      <w:color w:val="000000"/>
      <w:spacing w:val="10"/>
      <w:lang w:val="en-GB" w:eastAsia="en-US"/>
    </w:rPr>
  </w:style>
  <w:style w:type="paragraph" w:customStyle="1" w:styleId="DDBullet2">
    <w:name w:val="DD Bullet 2"/>
    <w:uiPriority w:val="1"/>
    <w:qFormat/>
    <w:rsid w:val="00D34600"/>
    <w:pPr>
      <w:keepLines/>
      <w:numPr>
        <w:ilvl w:val="1"/>
        <w:numId w:val="30"/>
      </w:numPr>
      <w:spacing w:line="300" w:lineRule="atLeast"/>
    </w:pPr>
    <w:rPr>
      <w:rFonts w:ascii="Arial" w:hAnsi="Arial" w:cs="Arial"/>
      <w:color w:val="000000"/>
      <w:spacing w:val="10"/>
      <w:lang w:val="en-GB" w:eastAsia="en-US"/>
    </w:rPr>
  </w:style>
  <w:style w:type="paragraph" w:customStyle="1" w:styleId="DDBullet3">
    <w:name w:val="DD Bullet 3"/>
    <w:uiPriority w:val="1"/>
    <w:qFormat/>
    <w:rsid w:val="00D34600"/>
    <w:pPr>
      <w:keepLines/>
      <w:numPr>
        <w:ilvl w:val="2"/>
        <w:numId w:val="30"/>
      </w:numPr>
      <w:spacing w:line="300" w:lineRule="atLeast"/>
    </w:pPr>
    <w:rPr>
      <w:rFonts w:ascii="Arial" w:hAnsi="Arial" w:cs="Arial"/>
      <w:color w:val="000000"/>
      <w:spacing w:val="10"/>
      <w:lang w:val="en-GB" w:eastAsia="en-US"/>
    </w:rPr>
  </w:style>
  <w:style w:type="paragraph" w:customStyle="1" w:styleId="DDBullet4">
    <w:name w:val="DD Bullet 4"/>
    <w:qFormat/>
    <w:rsid w:val="00D34600"/>
    <w:pPr>
      <w:numPr>
        <w:ilvl w:val="3"/>
        <w:numId w:val="30"/>
      </w:numPr>
      <w:spacing w:line="300" w:lineRule="atLeast"/>
    </w:pPr>
    <w:rPr>
      <w:rFonts w:ascii="Arial" w:hAnsi="Arial" w:cs="Arial"/>
      <w:color w:val="000000"/>
      <w:spacing w:val="10"/>
      <w:lang w:val="en-GB" w:eastAsia="en-US"/>
    </w:rPr>
  </w:style>
  <w:style w:type="paragraph" w:customStyle="1" w:styleId="DDBullet5">
    <w:name w:val="DD Bullet 5"/>
    <w:qFormat/>
    <w:rsid w:val="00D34600"/>
    <w:pPr>
      <w:numPr>
        <w:ilvl w:val="4"/>
        <w:numId w:val="30"/>
      </w:numPr>
      <w:spacing w:line="300" w:lineRule="atLeast"/>
    </w:pPr>
    <w:rPr>
      <w:rFonts w:ascii="Arial" w:hAnsi="Arial" w:cs="Arial"/>
      <w:color w:val="000000"/>
      <w:spacing w:val="10"/>
      <w:lang w:val="en-GB" w:eastAsia="en-US"/>
    </w:rPr>
  </w:style>
  <w:style w:type="paragraph" w:customStyle="1" w:styleId="DDBullet6">
    <w:name w:val="DD Bullet 6"/>
    <w:qFormat/>
    <w:rsid w:val="00D34600"/>
    <w:pPr>
      <w:numPr>
        <w:ilvl w:val="5"/>
        <w:numId w:val="30"/>
      </w:numPr>
      <w:spacing w:line="300" w:lineRule="atLeast"/>
    </w:pPr>
    <w:rPr>
      <w:rFonts w:ascii="Arial" w:hAnsi="Arial" w:cs="Arial"/>
      <w:color w:val="000000"/>
      <w:spacing w:val="10"/>
      <w:lang w:val="en-GB" w:eastAsia="en-US"/>
    </w:rPr>
  </w:style>
  <w:style w:type="paragraph" w:customStyle="1" w:styleId="DDBullet7">
    <w:name w:val="DD Bullet 7"/>
    <w:qFormat/>
    <w:rsid w:val="00D34600"/>
    <w:pPr>
      <w:numPr>
        <w:ilvl w:val="6"/>
        <w:numId w:val="30"/>
      </w:numPr>
      <w:spacing w:line="300" w:lineRule="atLeast"/>
    </w:pPr>
    <w:rPr>
      <w:rFonts w:ascii="Arial" w:hAnsi="Arial" w:cs="Arial"/>
      <w:color w:val="000000"/>
      <w:spacing w:val="10"/>
      <w:lang w:val="en-GB" w:eastAsia="en-US"/>
    </w:rPr>
  </w:style>
  <w:style w:type="paragraph" w:customStyle="1" w:styleId="DDBullet8">
    <w:name w:val="DD Bullet 8"/>
    <w:qFormat/>
    <w:rsid w:val="00D34600"/>
    <w:pPr>
      <w:numPr>
        <w:ilvl w:val="7"/>
        <w:numId w:val="30"/>
      </w:numPr>
      <w:spacing w:line="300" w:lineRule="atLeast"/>
    </w:pPr>
    <w:rPr>
      <w:rFonts w:ascii="Arial" w:hAnsi="Arial" w:cs="Arial"/>
      <w:color w:val="000000"/>
      <w:spacing w:val="10"/>
      <w:lang w:val="en-GB" w:eastAsia="en-US"/>
    </w:rPr>
  </w:style>
  <w:style w:type="paragraph" w:customStyle="1" w:styleId="DDBullet9">
    <w:name w:val="DD Bullet 9"/>
    <w:qFormat/>
    <w:rsid w:val="00D34600"/>
    <w:pPr>
      <w:numPr>
        <w:ilvl w:val="8"/>
        <w:numId w:val="30"/>
      </w:numPr>
      <w:spacing w:line="300" w:lineRule="atLeast"/>
    </w:pPr>
    <w:rPr>
      <w:rFonts w:ascii="Arial" w:hAnsi="Arial" w:cs="Arial"/>
      <w:color w:val="000000"/>
      <w:spacing w:val="10"/>
      <w:lang w:val="en-GB" w:eastAsia="en-US"/>
    </w:rPr>
  </w:style>
  <w:style w:type="numbering" w:customStyle="1" w:styleId="DDBulletList1">
    <w:name w:val="_DD Bullet List1"/>
    <w:rsid w:val="006D54EA"/>
    <w:pPr>
      <w:numPr>
        <w:numId w:val="1"/>
      </w:numPr>
    </w:pPr>
  </w:style>
  <w:style w:type="character" w:customStyle="1" w:styleId="DDBodyTextChar">
    <w:name w:val="DD Body Text Char"/>
    <w:link w:val="DDBodyText"/>
    <w:locked/>
    <w:rsid w:val="00B76A1B"/>
    <w:rPr>
      <w:rFonts w:ascii="Arial" w:hAnsi="Arial" w:cs="Arial"/>
      <w:color w:val="000000"/>
      <w:spacing w:val="10"/>
      <w:lang w:eastAsia="en-US"/>
    </w:rPr>
  </w:style>
  <w:style w:type="paragraph" w:customStyle="1" w:styleId="DDBodyText">
    <w:name w:val="DD Body Text"/>
    <w:link w:val="DDBodyTextChar"/>
    <w:qFormat/>
    <w:rsid w:val="00B76A1B"/>
    <w:pPr>
      <w:spacing w:before="180" w:after="60" w:line="300" w:lineRule="atLeast"/>
      <w:ind w:left="851"/>
      <w:jc w:val="both"/>
    </w:pPr>
    <w:rPr>
      <w:rFonts w:ascii="Arial" w:hAnsi="Arial" w:cs="Arial"/>
      <w:color w:val="000000"/>
      <w:spacing w:val="10"/>
      <w:lang w:eastAsia="en-US"/>
    </w:rPr>
  </w:style>
  <w:style w:type="character" w:customStyle="1" w:styleId="DDBullet1Char">
    <w:name w:val="DD Bullet 1 Char"/>
    <w:link w:val="DDBullet1"/>
    <w:uiPriority w:val="1"/>
    <w:locked/>
    <w:rsid w:val="00B76A1B"/>
    <w:rPr>
      <w:rFonts w:ascii="Arial" w:hAnsi="Arial" w:cs="Arial"/>
      <w:color w:val="000000"/>
      <w:spacing w:val="10"/>
      <w:lang w:val="en-GB" w:eastAsia="en-US"/>
    </w:rPr>
  </w:style>
  <w:style w:type="character" w:styleId="UnresolvedMention">
    <w:name w:val="Unresolved Mention"/>
    <w:basedOn w:val="DefaultParagraphFont"/>
    <w:uiPriority w:val="99"/>
    <w:semiHidden/>
    <w:unhideWhenUsed/>
    <w:rsid w:val="00DB23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4680">
      <w:bodyDiv w:val="1"/>
      <w:marLeft w:val="0"/>
      <w:marRight w:val="0"/>
      <w:marTop w:val="0"/>
      <w:marBottom w:val="0"/>
      <w:divBdr>
        <w:top w:val="none" w:sz="0" w:space="0" w:color="auto"/>
        <w:left w:val="none" w:sz="0" w:space="0" w:color="auto"/>
        <w:bottom w:val="none" w:sz="0" w:space="0" w:color="auto"/>
        <w:right w:val="none" w:sz="0" w:space="0" w:color="auto"/>
      </w:divBdr>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949513603">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90344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d.muller@qgcio.qld.gov.au" TargetMode="External"/><Relationship Id="rId13" Type="http://schemas.openxmlformats.org/officeDocument/2006/relationships/header" Target="header1.xml"/><Relationship Id="rId18" Type="http://schemas.openxmlformats.org/officeDocument/2006/relationships/hyperlink" Target="https://www.qgcio.qld.gov.au/documents/collaborative-workspace-policy" TargetMode="Externa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documents/collaborative-workspace-strategy"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qgcio.qld.gov.au/documents/collaborative-workspace-strategy" TargetMode="External"/><Relationship Id="rId29" Type="http://schemas.openxmlformats.org/officeDocument/2006/relationships/image" Target="media/image1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yperlink" Target="https://www.qgcio.qld.gov.au/documents/collaborative-workspace-strategy"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19EB7-BD7B-427E-9563-63ACA20D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2996</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20034</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2</cp:revision>
  <cp:lastPrinted>2017-05-18T05:45:00Z</cp:lastPrinted>
  <dcterms:created xsi:type="dcterms:W3CDTF">2019-09-09T00:13:00Z</dcterms:created>
  <dcterms:modified xsi:type="dcterms:W3CDTF">2019-09-09T00:13:00Z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