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F478" w14:textId="6AAFBE9D" w:rsidR="00875901" w:rsidRPr="00A06D12" w:rsidRDefault="00A06D12" w:rsidP="00875901">
      <w:pPr>
        <w:pStyle w:val="PSC-Titleofdocument"/>
        <w:rPr>
          <w:sz w:val="52"/>
          <w:szCs w:val="52"/>
        </w:rPr>
      </w:pPr>
      <w:r w:rsidRPr="00A06D12">
        <w:rPr>
          <w:sz w:val="52"/>
          <w:szCs w:val="52"/>
        </w:rPr>
        <w:t>Workforce change strategy implementation support guide</w:t>
      </w:r>
    </w:p>
    <w:p w14:paraId="5889A1E5" w14:textId="77777777" w:rsidR="00875901" w:rsidRDefault="00875901" w:rsidP="00875901"/>
    <w:p w14:paraId="1162376C" w14:textId="77777777" w:rsidR="00A06D12" w:rsidRPr="00A06D12" w:rsidRDefault="00A06D12" w:rsidP="002E3D58">
      <w:r w:rsidRPr="00A06D12">
        <w:t xml:space="preserve">The </w:t>
      </w:r>
      <w:r w:rsidRPr="00A06D12">
        <w:rPr>
          <w:i/>
        </w:rPr>
        <w:t>Workforce change strategy implementation support guide</w:t>
      </w:r>
      <w:r w:rsidRPr="00A06D12">
        <w:t xml:space="preserve"> will assist managers and human resource (HR) professionals in early discussions and preparing a business case when workplace change is being considered and employee(s) will be displaced. </w:t>
      </w:r>
    </w:p>
    <w:p w14:paraId="7FF4EC78" w14:textId="77777777" w:rsidR="00A06D12" w:rsidRPr="00A06D12" w:rsidRDefault="00A06D12" w:rsidP="002E3D58"/>
    <w:p w14:paraId="04E358DC" w14:textId="77777777" w:rsidR="00A06D12" w:rsidRDefault="00A06D12" w:rsidP="002E3D58">
      <w:r w:rsidRPr="00A06D12">
        <w:t>When a workplace is considering change</w:t>
      </w:r>
      <w:r w:rsidRPr="00A06D12" w:rsidDel="0081474E">
        <w:t xml:space="preserve">, </w:t>
      </w:r>
      <w:r w:rsidRPr="00A06D12">
        <w:t xml:space="preserve">strategic, </w:t>
      </w:r>
      <w:proofErr w:type="gramStart"/>
      <w:r w:rsidRPr="00A06D12">
        <w:t>tactical</w:t>
      </w:r>
      <w:proofErr w:type="gramEnd"/>
      <w:r w:rsidRPr="00A06D12">
        <w:t xml:space="preserve"> and operational planning is essential to develop a workplace change </w:t>
      </w:r>
      <w:r w:rsidRPr="00A06D12" w:rsidDel="0081474E">
        <w:t>strategy.</w:t>
      </w:r>
    </w:p>
    <w:p w14:paraId="1C7C78FC" w14:textId="77777777" w:rsidR="00A06D12" w:rsidRDefault="00A06D12" w:rsidP="00A06D12">
      <w:pPr>
        <w:rPr>
          <w:rFonts w:ascii="Arial" w:hAnsi="Arial" w:cs="Arial"/>
        </w:rPr>
      </w:pPr>
    </w:p>
    <w:p w14:paraId="69BF7B4E" w14:textId="0BA38D9D" w:rsidR="00A06D12" w:rsidRDefault="00A06D12" w:rsidP="00A06D12">
      <w:pPr>
        <w:pStyle w:val="PSC-Heading2"/>
      </w:pPr>
      <w:r w:rsidRPr="00A06D12">
        <w:t>Workforce change considerations</w:t>
      </w:r>
    </w:p>
    <w:p w14:paraId="0E98F73F" w14:textId="77777777" w:rsidR="00A06D12" w:rsidRPr="00A06D12" w:rsidRDefault="00A06D12" w:rsidP="00A06D12">
      <w:pPr>
        <w:rPr>
          <w:rFonts w:ascii="Arial" w:hAnsi="Arial" w:cs="Arial"/>
        </w:rPr>
      </w:pPr>
    </w:p>
    <w:p w14:paraId="71EA580B" w14:textId="69F2FDA4" w:rsidR="00A06D12" w:rsidRDefault="00A06D12" w:rsidP="00A06D12">
      <w:pPr>
        <w:pStyle w:val="PSC-Heading3"/>
      </w:pPr>
      <w:r w:rsidRPr="00A06D12">
        <w:t>Strategic</w:t>
      </w:r>
    </w:p>
    <w:p w14:paraId="29F96A93" w14:textId="77777777" w:rsidR="00A06D12" w:rsidRPr="00A06D12" w:rsidRDefault="00A06D12" w:rsidP="00A06D12">
      <w:pPr>
        <w:pStyle w:val="PSC-Heading3"/>
      </w:pPr>
    </w:p>
    <w:p w14:paraId="46408FBD" w14:textId="77777777" w:rsidR="00A06D12" w:rsidRPr="00A06D12" w:rsidRDefault="00A06D12" w:rsidP="00A06D12">
      <w:pPr>
        <w:pStyle w:val="ListParagraph"/>
        <w:numPr>
          <w:ilvl w:val="0"/>
          <w:numId w:val="21"/>
        </w:numPr>
      </w:pPr>
      <w:r w:rsidRPr="00A06D12">
        <w:t>What is the background and current organisational context?</w:t>
      </w:r>
    </w:p>
    <w:p w14:paraId="35D7154F" w14:textId="77777777" w:rsidR="00A06D12" w:rsidRPr="00A06D12" w:rsidRDefault="00A06D12" w:rsidP="00A06D12">
      <w:pPr>
        <w:pStyle w:val="ListParagraph"/>
        <w:numPr>
          <w:ilvl w:val="0"/>
          <w:numId w:val="21"/>
        </w:numPr>
      </w:pPr>
      <w:r w:rsidRPr="00A06D12">
        <w:t>How does the change link to the agency’s vision/strategic plan/strategic workforce plan?</w:t>
      </w:r>
    </w:p>
    <w:p w14:paraId="175954C3" w14:textId="77777777" w:rsidR="00A06D12" w:rsidRPr="00A06D12" w:rsidRDefault="00A06D12" w:rsidP="00A06D12">
      <w:pPr>
        <w:pStyle w:val="ListParagraph"/>
        <w:numPr>
          <w:ilvl w:val="0"/>
          <w:numId w:val="21"/>
        </w:numPr>
      </w:pPr>
      <w:r w:rsidRPr="00A06D12">
        <w:t>What are the strategic drivers for change? Are they external and/or internal (e.g. policy, technology, processes, roles, culture)?</w:t>
      </w:r>
    </w:p>
    <w:p w14:paraId="5915873E" w14:textId="77777777" w:rsidR="00A06D12" w:rsidRPr="00A06D12" w:rsidRDefault="00A06D12" w:rsidP="00A06D12">
      <w:pPr>
        <w:pStyle w:val="ListParagraph"/>
        <w:numPr>
          <w:ilvl w:val="0"/>
          <w:numId w:val="21"/>
        </w:numPr>
      </w:pPr>
      <w:r w:rsidRPr="00A06D12">
        <w:t xml:space="preserve">Is there an impact on full-time equivalent (FTE) roles? To what extent has the fiscal principle in relation to FTE been considered? </w:t>
      </w:r>
    </w:p>
    <w:p w14:paraId="29F23D87" w14:textId="77777777" w:rsidR="00A06D12" w:rsidRPr="00A06D12" w:rsidRDefault="00A06D12" w:rsidP="00A06D12">
      <w:pPr>
        <w:pStyle w:val="ListParagraph"/>
        <w:numPr>
          <w:ilvl w:val="0"/>
          <w:numId w:val="21"/>
        </w:numPr>
      </w:pPr>
      <w:r w:rsidRPr="00A06D12">
        <w:t>To what extent have stakeholders (e.g. unions, employees, customers) been involved in the concept and strategy design? How can consultation allow for effective contributions to decision making processes?</w:t>
      </w:r>
    </w:p>
    <w:p w14:paraId="4D2F1C04" w14:textId="77777777" w:rsidR="00A06D12" w:rsidRPr="00A06D12" w:rsidRDefault="00A06D12" w:rsidP="00A06D12">
      <w:pPr>
        <w:pStyle w:val="ListParagraph"/>
        <w:numPr>
          <w:ilvl w:val="0"/>
          <w:numId w:val="21"/>
        </w:numPr>
      </w:pPr>
      <w:r w:rsidRPr="00A06D12">
        <w:t xml:space="preserve">What outcome is sought from the change? What will the end state look like? </w:t>
      </w:r>
    </w:p>
    <w:p w14:paraId="2352933B" w14:textId="77777777" w:rsidR="00A06D12" w:rsidRPr="00A06D12" w:rsidRDefault="00A06D12" w:rsidP="00A06D12">
      <w:pPr>
        <w:pStyle w:val="ListParagraph"/>
        <w:numPr>
          <w:ilvl w:val="0"/>
          <w:numId w:val="21"/>
        </w:numPr>
      </w:pPr>
      <w:r w:rsidRPr="00A06D12">
        <w:t>What resourcing options (e.g. contingent, displaced, and repurposing) have been considered?</w:t>
      </w:r>
    </w:p>
    <w:p w14:paraId="31E706BE" w14:textId="77777777" w:rsidR="00A06D12" w:rsidRPr="00A06D12" w:rsidRDefault="00A06D12" w:rsidP="00A06D12">
      <w:pPr>
        <w:pStyle w:val="ListParagraph"/>
        <w:numPr>
          <w:ilvl w:val="0"/>
          <w:numId w:val="21"/>
        </w:numPr>
      </w:pPr>
      <w:r w:rsidRPr="00A06D12">
        <w:t>Will the change strategy satisfy the organisational change provisions contained within relevant industrial instruments?</w:t>
      </w:r>
    </w:p>
    <w:p w14:paraId="06FA655E" w14:textId="77777777" w:rsidR="00A06D12" w:rsidRPr="00A06D12" w:rsidRDefault="00A06D12" w:rsidP="00A06D12">
      <w:pPr>
        <w:pStyle w:val="ListParagraph"/>
        <w:numPr>
          <w:ilvl w:val="0"/>
          <w:numId w:val="21"/>
        </w:numPr>
      </w:pPr>
      <w:r w:rsidRPr="00A06D12">
        <w:t>How does the change embody Queensland Government employment security policy and commitment to limit organisational change?</w:t>
      </w:r>
    </w:p>
    <w:p w14:paraId="4F0F7F6B" w14:textId="77777777" w:rsidR="00A06D12" w:rsidRPr="00A06D12" w:rsidRDefault="00A06D12" w:rsidP="00A06D12">
      <w:pPr>
        <w:pStyle w:val="ListParagraph"/>
        <w:numPr>
          <w:ilvl w:val="0"/>
          <w:numId w:val="21"/>
        </w:numPr>
      </w:pPr>
      <w:r w:rsidRPr="00A06D12">
        <w:t>What are the high-level internal (e.g. employee reductions) and external (e.g. other agencies) implications? How many employees are affected in total?</w:t>
      </w:r>
    </w:p>
    <w:p w14:paraId="20981586" w14:textId="77777777" w:rsidR="00A06D12" w:rsidRPr="00A06D12" w:rsidRDefault="00A06D12" w:rsidP="00A06D12">
      <w:pPr>
        <w:pStyle w:val="ListParagraph"/>
        <w:numPr>
          <w:ilvl w:val="0"/>
          <w:numId w:val="21"/>
        </w:numPr>
      </w:pPr>
      <w:r w:rsidRPr="00A06D12">
        <w:t xml:space="preserve">Is there a strategic governance forum for the change? Is the change of a large scale and/or cross-department? Should the Public Service Commission (PSC) and the Office of Industrial Relations be included in the forum?  </w:t>
      </w:r>
    </w:p>
    <w:p w14:paraId="057E6D81" w14:textId="77777777" w:rsidR="00A06D12" w:rsidRPr="00A06D12" w:rsidRDefault="00A06D12" w:rsidP="00A06D12">
      <w:pPr>
        <w:pStyle w:val="ListParagraph"/>
        <w:numPr>
          <w:ilvl w:val="0"/>
          <w:numId w:val="21"/>
        </w:numPr>
      </w:pPr>
      <w:r w:rsidRPr="00A06D12">
        <w:t xml:space="preserve">What is the authorising environment for the change? </w:t>
      </w:r>
    </w:p>
    <w:p w14:paraId="5E3BADB3" w14:textId="0483A342" w:rsidR="00A06D12" w:rsidRDefault="00A06D12" w:rsidP="00A06D12">
      <w:pPr>
        <w:pStyle w:val="ListParagraph"/>
        <w:numPr>
          <w:ilvl w:val="0"/>
          <w:numId w:val="21"/>
        </w:numPr>
      </w:pPr>
      <w:r w:rsidRPr="00A06D12">
        <w:t>What are the strategic communication and engagement principles?</w:t>
      </w:r>
    </w:p>
    <w:p w14:paraId="491AC9F5" w14:textId="77777777" w:rsidR="00A06D12" w:rsidRPr="00A06D12" w:rsidRDefault="00A06D12" w:rsidP="00A06D12">
      <w:pPr>
        <w:ind w:left="360"/>
        <w:rPr>
          <w:rFonts w:ascii="Arial" w:hAnsi="Arial" w:cs="Arial"/>
        </w:rPr>
      </w:pPr>
    </w:p>
    <w:p w14:paraId="3283A2F1" w14:textId="0951A4D2" w:rsidR="00A06D12" w:rsidRPr="00A06D12" w:rsidRDefault="00A06D12" w:rsidP="00A06D12">
      <w:pPr>
        <w:pStyle w:val="PSC-Heading3"/>
      </w:pPr>
      <w:r w:rsidRPr="00A06D12">
        <w:t>Tactical</w:t>
      </w:r>
    </w:p>
    <w:p w14:paraId="1C2CBFEB" w14:textId="77777777" w:rsidR="00A06D12" w:rsidRPr="00A06D12" w:rsidRDefault="00A06D12" w:rsidP="00A06D12">
      <w:pPr>
        <w:rPr>
          <w:rFonts w:ascii="Arial" w:hAnsi="Arial" w:cs="Arial"/>
          <w:b/>
        </w:rPr>
      </w:pPr>
    </w:p>
    <w:p w14:paraId="7F0EB523" w14:textId="77777777" w:rsidR="00A06D12" w:rsidRPr="002E3D58" w:rsidRDefault="00A06D12" w:rsidP="00A06D12">
      <w:pPr>
        <w:numPr>
          <w:ilvl w:val="0"/>
          <w:numId w:val="18"/>
        </w:numPr>
        <w:rPr>
          <w:rFonts w:cstheme="minorHAnsi"/>
        </w:rPr>
      </w:pPr>
      <w:r w:rsidRPr="002E3D58">
        <w:rPr>
          <w:rFonts w:cstheme="minorHAnsi"/>
        </w:rPr>
        <w:t>How many employees will be affected?</w:t>
      </w:r>
    </w:p>
    <w:p w14:paraId="72480BC1" w14:textId="77777777" w:rsidR="00A06D12" w:rsidRPr="002E3D58" w:rsidRDefault="00A06D12" w:rsidP="00A06D12">
      <w:pPr>
        <w:numPr>
          <w:ilvl w:val="0"/>
          <w:numId w:val="18"/>
        </w:numPr>
        <w:rPr>
          <w:rFonts w:cstheme="minorHAnsi"/>
        </w:rPr>
      </w:pPr>
      <w:r w:rsidRPr="002E3D58">
        <w:rPr>
          <w:rFonts w:cstheme="minorHAnsi"/>
        </w:rPr>
        <w:t>Have you considered employees who are eligible for temporary to permanent conversion?</w:t>
      </w:r>
    </w:p>
    <w:p w14:paraId="50F7D7AF" w14:textId="77777777" w:rsidR="00A06D12" w:rsidRPr="002E3D58" w:rsidRDefault="00A06D12" w:rsidP="00A06D12">
      <w:pPr>
        <w:numPr>
          <w:ilvl w:val="0"/>
          <w:numId w:val="18"/>
        </w:numPr>
        <w:rPr>
          <w:rFonts w:cstheme="minorHAnsi"/>
        </w:rPr>
      </w:pPr>
      <w:r w:rsidRPr="002E3D58">
        <w:rPr>
          <w:rFonts w:cstheme="minorHAnsi"/>
        </w:rPr>
        <w:lastRenderedPageBreak/>
        <w:t xml:space="preserve">What are the key dates and time frames for change? </w:t>
      </w:r>
    </w:p>
    <w:p w14:paraId="4F1A360E" w14:textId="77777777" w:rsidR="00A06D12" w:rsidRPr="002E3D58" w:rsidRDefault="00A06D12" w:rsidP="00A06D12">
      <w:pPr>
        <w:numPr>
          <w:ilvl w:val="0"/>
          <w:numId w:val="18"/>
        </w:numPr>
        <w:rPr>
          <w:rFonts w:cstheme="minorHAnsi"/>
        </w:rPr>
      </w:pPr>
      <w:r w:rsidRPr="002E3D58">
        <w:rPr>
          <w:rFonts w:cstheme="minorHAnsi"/>
        </w:rPr>
        <w:t xml:space="preserve">What are the known implications for divisions, teams, </w:t>
      </w:r>
      <w:proofErr w:type="gramStart"/>
      <w:r w:rsidRPr="002E3D58">
        <w:rPr>
          <w:rFonts w:cstheme="minorHAnsi"/>
        </w:rPr>
        <w:t>roles</w:t>
      </w:r>
      <w:proofErr w:type="gramEnd"/>
      <w:r w:rsidRPr="002E3D58">
        <w:rPr>
          <w:rFonts w:cstheme="minorHAnsi"/>
        </w:rPr>
        <w:t xml:space="preserve"> and groups of employees? How many employees are affected in these groups? Does the change impact multiple departments?</w:t>
      </w:r>
    </w:p>
    <w:p w14:paraId="3B989CFD" w14:textId="77777777" w:rsidR="00A06D12" w:rsidRPr="002E3D58" w:rsidRDefault="00A06D12" w:rsidP="00A06D12">
      <w:pPr>
        <w:numPr>
          <w:ilvl w:val="0"/>
          <w:numId w:val="18"/>
        </w:numPr>
        <w:rPr>
          <w:rFonts w:cstheme="minorHAnsi"/>
        </w:rPr>
      </w:pPr>
      <w:r w:rsidRPr="002E3D58">
        <w:rPr>
          <w:rFonts w:cstheme="minorHAnsi"/>
        </w:rPr>
        <w:t>What are the specific considerations for employees included under any departmental employment equity strategies?</w:t>
      </w:r>
    </w:p>
    <w:p w14:paraId="68CB70F2" w14:textId="77777777" w:rsidR="00A06D12" w:rsidRPr="002E3D58" w:rsidRDefault="00A06D12" w:rsidP="00A06D12">
      <w:pPr>
        <w:numPr>
          <w:ilvl w:val="0"/>
          <w:numId w:val="18"/>
        </w:numPr>
        <w:rPr>
          <w:rFonts w:cstheme="minorHAnsi"/>
        </w:rPr>
      </w:pPr>
      <w:r w:rsidRPr="002E3D58">
        <w:rPr>
          <w:rFonts w:cstheme="minorHAnsi"/>
        </w:rPr>
        <w:t>What is the location of the change? Are there particular location-specific employment demographics to consider (e.g. high unemployment, rural/remote limitations on employment options)?</w:t>
      </w:r>
    </w:p>
    <w:p w14:paraId="5FB8E85A" w14:textId="77777777" w:rsidR="00A06D12" w:rsidRPr="002E3D58" w:rsidRDefault="00A06D12" w:rsidP="00A06D12">
      <w:pPr>
        <w:numPr>
          <w:ilvl w:val="0"/>
          <w:numId w:val="18"/>
        </w:numPr>
        <w:rPr>
          <w:rFonts w:cstheme="minorHAnsi"/>
        </w:rPr>
      </w:pPr>
      <w:r w:rsidRPr="002E3D58">
        <w:rPr>
          <w:rFonts w:cstheme="minorHAnsi"/>
        </w:rPr>
        <w:t xml:space="preserve">What is the communication and engagement approach with affected employees, </w:t>
      </w:r>
      <w:proofErr w:type="gramStart"/>
      <w:r w:rsidRPr="002E3D58">
        <w:rPr>
          <w:rFonts w:cstheme="minorHAnsi"/>
        </w:rPr>
        <w:t>managers</w:t>
      </w:r>
      <w:proofErr w:type="gramEnd"/>
      <w:r w:rsidRPr="002E3D58">
        <w:rPr>
          <w:rFonts w:cstheme="minorHAnsi"/>
        </w:rPr>
        <w:t xml:space="preserve"> and leaders?</w:t>
      </w:r>
    </w:p>
    <w:p w14:paraId="53B6A8E0" w14:textId="77777777" w:rsidR="00A06D12" w:rsidRPr="002E3D58" w:rsidRDefault="00A06D12" w:rsidP="00A06D12">
      <w:pPr>
        <w:numPr>
          <w:ilvl w:val="0"/>
          <w:numId w:val="18"/>
        </w:numPr>
        <w:rPr>
          <w:rFonts w:cstheme="minorHAnsi"/>
        </w:rPr>
      </w:pPr>
      <w:r w:rsidRPr="002E3D58">
        <w:rPr>
          <w:rFonts w:cstheme="minorHAnsi"/>
        </w:rPr>
        <w:t>What unions are you consulting? What is the approach and timing for consultation?</w:t>
      </w:r>
    </w:p>
    <w:p w14:paraId="21796D99" w14:textId="77777777" w:rsidR="00A06D12" w:rsidRPr="002E3D58" w:rsidRDefault="00A06D12" w:rsidP="00A06D12">
      <w:pPr>
        <w:numPr>
          <w:ilvl w:val="0"/>
          <w:numId w:val="18"/>
        </w:numPr>
        <w:rPr>
          <w:rFonts w:cstheme="minorHAnsi"/>
        </w:rPr>
      </w:pPr>
      <w:r w:rsidRPr="002E3D58">
        <w:rPr>
          <w:rFonts w:cstheme="minorHAnsi"/>
        </w:rPr>
        <w:t>What is the potential scope and process for inviting and considering expressions of interest in relation to voluntary redundancies?</w:t>
      </w:r>
    </w:p>
    <w:p w14:paraId="4A6E405A" w14:textId="77777777" w:rsidR="00A06D12" w:rsidRPr="002E3D58" w:rsidRDefault="00A06D12" w:rsidP="00A06D12">
      <w:pPr>
        <w:numPr>
          <w:ilvl w:val="0"/>
          <w:numId w:val="18"/>
        </w:numPr>
        <w:rPr>
          <w:rFonts w:cstheme="minorHAnsi"/>
        </w:rPr>
      </w:pPr>
      <w:r w:rsidRPr="002E3D58">
        <w:rPr>
          <w:rFonts w:cstheme="minorHAnsi"/>
        </w:rPr>
        <w:t>What career pathways are available for affected employees (e.g. do the same role in a different way, new roles on offer, placement in other agencies)?</w:t>
      </w:r>
    </w:p>
    <w:p w14:paraId="02A79843" w14:textId="77777777" w:rsidR="00A06D12" w:rsidRPr="002E3D58" w:rsidRDefault="00A06D12" w:rsidP="00A06D12">
      <w:pPr>
        <w:numPr>
          <w:ilvl w:val="0"/>
          <w:numId w:val="18"/>
        </w:numPr>
        <w:rPr>
          <w:rFonts w:cstheme="minorHAnsi"/>
        </w:rPr>
      </w:pPr>
      <w:r w:rsidRPr="002E3D58">
        <w:rPr>
          <w:rFonts w:cstheme="minorHAnsi"/>
        </w:rPr>
        <w:t>What are the roles and responsibilities of key stakeholders?</w:t>
      </w:r>
    </w:p>
    <w:p w14:paraId="7288F477" w14:textId="77777777" w:rsidR="00A06D12" w:rsidRPr="002E3D58" w:rsidRDefault="00A06D12" w:rsidP="00A06D12">
      <w:pPr>
        <w:numPr>
          <w:ilvl w:val="0"/>
          <w:numId w:val="18"/>
        </w:numPr>
        <w:rPr>
          <w:rFonts w:cstheme="minorHAnsi"/>
        </w:rPr>
      </w:pPr>
      <w:r w:rsidRPr="002E3D58">
        <w:rPr>
          <w:rFonts w:cstheme="minorHAnsi"/>
        </w:rPr>
        <w:t>What are the risks, issues and mitigations identified?</w:t>
      </w:r>
    </w:p>
    <w:p w14:paraId="0B1766EE" w14:textId="77777777" w:rsidR="00A06D12" w:rsidRPr="002E3D58" w:rsidRDefault="00A06D12" w:rsidP="00A06D12">
      <w:pPr>
        <w:numPr>
          <w:ilvl w:val="0"/>
          <w:numId w:val="18"/>
        </w:numPr>
        <w:rPr>
          <w:rFonts w:cstheme="minorHAnsi"/>
        </w:rPr>
      </w:pPr>
      <w:r w:rsidRPr="002E3D58">
        <w:rPr>
          <w:rFonts w:cstheme="minorHAnsi"/>
        </w:rPr>
        <w:t xml:space="preserve">What </w:t>
      </w:r>
      <w:proofErr w:type="gramStart"/>
      <w:r w:rsidRPr="002E3D58">
        <w:rPr>
          <w:rFonts w:cstheme="minorHAnsi"/>
        </w:rPr>
        <w:t>are</w:t>
      </w:r>
      <w:proofErr w:type="gramEnd"/>
      <w:r w:rsidRPr="002E3D58">
        <w:rPr>
          <w:rFonts w:cstheme="minorHAnsi"/>
        </w:rPr>
        <w:t xml:space="preserve"> the key workforce change principles underpinning the change? For example:</w:t>
      </w:r>
    </w:p>
    <w:p w14:paraId="1BD48005" w14:textId="77777777" w:rsidR="00A06D12" w:rsidRPr="002E3D58" w:rsidRDefault="00A06D12" w:rsidP="00A06D12">
      <w:pPr>
        <w:numPr>
          <w:ilvl w:val="1"/>
          <w:numId w:val="20"/>
        </w:numPr>
        <w:rPr>
          <w:rFonts w:cstheme="minorHAnsi"/>
        </w:rPr>
      </w:pPr>
      <w:r w:rsidRPr="002E3D58">
        <w:rPr>
          <w:rFonts w:cstheme="minorHAnsi"/>
        </w:rPr>
        <w:t>all affected employees are supported to transition to a new working environment and employment options are maximised</w:t>
      </w:r>
    </w:p>
    <w:p w14:paraId="42400533" w14:textId="77777777" w:rsidR="00A06D12" w:rsidRPr="002E3D58" w:rsidRDefault="00A06D12" w:rsidP="00A06D12">
      <w:pPr>
        <w:numPr>
          <w:ilvl w:val="1"/>
          <w:numId w:val="20"/>
        </w:numPr>
        <w:rPr>
          <w:rFonts w:cstheme="minorHAnsi"/>
        </w:rPr>
      </w:pPr>
      <w:r w:rsidRPr="002E3D58">
        <w:rPr>
          <w:rFonts w:cstheme="minorHAnsi"/>
        </w:rPr>
        <w:t xml:space="preserve">employment security for permanent employees is maximised by prioritising the transfer, </w:t>
      </w:r>
      <w:proofErr w:type="gramStart"/>
      <w:r w:rsidRPr="002E3D58">
        <w:rPr>
          <w:rFonts w:cstheme="minorHAnsi"/>
        </w:rPr>
        <w:t>deployment</w:t>
      </w:r>
      <w:proofErr w:type="gramEnd"/>
      <w:r w:rsidRPr="002E3D58">
        <w:rPr>
          <w:rFonts w:cstheme="minorHAnsi"/>
        </w:rPr>
        <w:t xml:space="preserve"> or redeployment of affected employees across the sector</w:t>
      </w:r>
    </w:p>
    <w:p w14:paraId="2D145703" w14:textId="77777777" w:rsidR="00A06D12" w:rsidRPr="002E3D58" w:rsidRDefault="00A06D12" w:rsidP="00A06D12">
      <w:pPr>
        <w:numPr>
          <w:ilvl w:val="1"/>
          <w:numId w:val="20"/>
        </w:numPr>
        <w:rPr>
          <w:rFonts w:cstheme="minorHAnsi"/>
        </w:rPr>
      </w:pPr>
      <w:r w:rsidRPr="002E3D58">
        <w:rPr>
          <w:rFonts w:cstheme="minorHAnsi"/>
        </w:rPr>
        <w:t xml:space="preserve">all affected employees are supported (where required) with individual case management, including facilitating the development of skills and experience  </w:t>
      </w:r>
    </w:p>
    <w:p w14:paraId="005ACDA2" w14:textId="77777777" w:rsidR="00A06D12" w:rsidRPr="002E3D58" w:rsidRDefault="00A06D12" w:rsidP="00A06D12">
      <w:pPr>
        <w:numPr>
          <w:ilvl w:val="1"/>
          <w:numId w:val="20"/>
        </w:numPr>
        <w:rPr>
          <w:rFonts w:cstheme="minorHAnsi"/>
        </w:rPr>
      </w:pPr>
      <w:r w:rsidRPr="002E3D58">
        <w:rPr>
          <w:rFonts w:cstheme="minorHAnsi"/>
        </w:rPr>
        <w:t xml:space="preserve">voluntary redundancies may be considered should employees advise of their interest  </w:t>
      </w:r>
    </w:p>
    <w:p w14:paraId="368F7487" w14:textId="77777777" w:rsidR="00A06D12" w:rsidRPr="002E3D58" w:rsidRDefault="00A06D12" w:rsidP="00A06D12">
      <w:pPr>
        <w:numPr>
          <w:ilvl w:val="1"/>
          <w:numId w:val="20"/>
        </w:numPr>
        <w:rPr>
          <w:rFonts w:cstheme="minorHAnsi"/>
        </w:rPr>
      </w:pPr>
      <w:r w:rsidRPr="002E3D58">
        <w:rPr>
          <w:rFonts w:cstheme="minorHAnsi"/>
        </w:rPr>
        <w:t>during the transition period, appropriate numbers of employees are available to enable the Queensland Government to provide services</w:t>
      </w:r>
    </w:p>
    <w:p w14:paraId="38762D1F" w14:textId="77777777" w:rsidR="00A06D12" w:rsidRPr="002E3D58" w:rsidRDefault="00A06D12" w:rsidP="00A06D12">
      <w:pPr>
        <w:numPr>
          <w:ilvl w:val="1"/>
          <w:numId w:val="20"/>
        </w:numPr>
        <w:rPr>
          <w:rFonts w:cstheme="minorHAnsi"/>
        </w:rPr>
      </w:pPr>
      <w:r w:rsidRPr="002E3D58">
        <w:rPr>
          <w:rFonts w:cstheme="minorHAnsi"/>
        </w:rPr>
        <w:t xml:space="preserve">where relevant, the use of incentives will be considered </w:t>
      </w:r>
      <w:proofErr w:type="gramStart"/>
      <w:r w:rsidRPr="002E3D58">
        <w:rPr>
          <w:rFonts w:cstheme="minorHAnsi"/>
        </w:rPr>
        <w:t>in order to</w:t>
      </w:r>
      <w:proofErr w:type="gramEnd"/>
      <w:r w:rsidRPr="002E3D58">
        <w:rPr>
          <w:rFonts w:cstheme="minorHAnsi"/>
        </w:rPr>
        <w:t xml:space="preserve"> maximise the opportunity for continued employment outside the Queensland Government while ensuring continuity of service</w:t>
      </w:r>
    </w:p>
    <w:p w14:paraId="28ADCA77" w14:textId="77777777" w:rsidR="00A06D12" w:rsidRPr="002E3D58" w:rsidRDefault="00A06D12" w:rsidP="00A06D12">
      <w:pPr>
        <w:numPr>
          <w:ilvl w:val="1"/>
          <w:numId w:val="20"/>
        </w:numPr>
        <w:rPr>
          <w:rFonts w:cstheme="minorHAnsi"/>
        </w:rPr>
      </w:pPr>
      <w:r w:rsidRPr="002E3D58">
        <w:rPr>
          <w:rFonts w:cstheme="minorHAnsi"/>
        </w:rPr>
        <w:t>there will be early and detailed planning to support all workforce change, to better enable the sector to collectively manage change processes, and ensure workforce impacts are handled fairly and consistently</w:t>
      </w:r>
    </w:p>
    <w:p w14:paraId="2E3D06A8" w14:textId="77777777" w:rsidR="00A06D12" w:rsidRPr="002E3D58" w:rsidRDefault="00A06D12" w:rsidP="00A06D12">
      <w:pPr>
        <w:numPr>
          <w:ilvl w:val="1"/>
          <w:numId w:val="20"/>
        </w:numPr>
        <w:rPr>
          <w:rFonts w:cstheme="minorHAnsi"/>
        </w:rPr>
      </w:pPr>
      <w:r w:rsidRPr="002E3D58">
        <w:rPr>
          <w:rFonts w:cstheme="minorHAnsi"/>
        </w:rPr>
        <w:t>appropriate union and other stakeholder communication and consultation is undertaken in accordance with relevant Awards and Certified Agreements</w:t>
      </w:r>
    </w:p>
    <w:p w14:paraId="7635232F" w14:textId="77777777" w:rsidR="00A06D12" w:rsidRPr="002E3D58" w:rsidRDefault="00A06D12" w:rsidP="00A06D12">
      <w:pPr>
        <w:numPr>
          <w:ilvl w:val="1"/>
          <w:numId w:val="20"/>
        </w:numPr>
        <w:rPr>
          <w:rFonts w:cstheme="minorHAnsi"/>
        </w:rPr>
      </w:pPr>
      <w:r w:rsidRPr="002E3D58">
        <w:rPr>
          <w:rFonts w:cstheme="minorHAnsi"/>
        </w:rPr>
        <w:t>open and timely employee and stakeholder communication and engagement are essential throughout the process</w:t>
      </w:r>
    </w:p>
    <w:p w14:paraId="6F93BF34" w14:textId="77777777" w:rsidR="00A06D12" w:rsidRPr="002E3D58" w:rsidRDefault="00A06D12" w:rsidP="00A06D12">
      <w:pPr>
        <w:numPr>
          <w:ilvl w:val="1"/>
          <w:numId w:val="20"/>
        </w:numPr>
        <w:rPr>
          <w:rFonts w:cstheme="minorHAnsi"/>
        </w:rPr>
      </w:pPr>
      <w:r w:rsidRPr="002E3D58">
        <w:rPr>
          <w:rFonts w:cstheme="minorHAnsi"/>
        </w:rPr>
        <w:t>employee assistance programs, including specialist offerings (where appropriate) will be actively applied to assist with career planning and skills development to support continued employment and career pathways</w:t>
      </w:r>
    </w:p>
    <w:p w14:paraId="121B14EC" w14:textId="080A0FFD" w:rsidR="00A06D12" w:rsidRPr="002E3D58" w:rsidRDefault="00A06D12" w:rsidP="00A06D12">
      <w:pPr>
        <w:numPr>
          <w:ilvl w:val="1"/>
          <w:numId w:val="20"/>
        </w:numPr>
        <w:rPr>
          <w:rFonts w:cstheme="minorHAnsi"/>
        </w:rPr>
      </w:pPr>
      <w:r w:rsidRPr="002E3D58">
        <w:rPr>
          <w:rFonts w:cstheme="minorHAnsi"/>
        </w:rPr>
        <w:t>the Queensland Government Policy on the Contracting-out of Services.</w:t>
      </w:r>
    </w:p>
    <w:p w14:paraId="05141EC7" w14:textId="77777777" w:rsidR="00A06D12" w:rsidRPr="00A06D12" w:rsidRDefault="00A06D12" w:rsidP="00A06D12">
      <w:pPr>
        <w:ind w:left="1080"/>
        <w:rPr>
          <w:rFonts w:ascii="Arial" w:hAnsi="Arial" w:cs="Arial"/>
        </w:rPr>
      </w:pPr>
    </w:p>
    <w:p w14:paraId="6AA73D28" w14:textId="77777777" w:rsidR="002E3D58" w:rsidRDefault="002E3D58" w:rsidP="00A06D12">
      <w:pPr>
        <w:pStyle w:val="PSC-Heading3"/>
      </w:pPr>
      <w:r>
        <w:br w:type="page"/>
      </w:r>
    </w:p>
    <w:p w14:paraId="33FE4BEC" w14:textId="5D5A421D" w:rsidR="00A06D12" w:rsidRPr="00A06D12" w:rsidRDefault="00A06D12" w:rsidP="00A06D12">
      <w:pPr>
        <w:pStyle w:val="PSC-Heading3"/>
      </w:pPr>
      <w:r w:rsidRPr="00A06D12">
        <w:lastRenderedPageBreak/>
        <w:t>Operational</w:t>
      </w:r>
    </w:p>
    <w:p w14:paraId="4CDEE48C" w14:textId="77777777" w:rsidR="00A06D12" w:rsidRPr="00A06D12" w:rsidRDefault="00A06D12" w:rsidP="00A06D12">
      <w:pPr>
        <w:rPr>
          <w:rFonts w:ascii="Arial" w:hAnsi="Arial" w:cs="Arial"/>
          <w:b/>
        </w:rPr>
      </w:pPr>
    </w:p>
    <w:p w14:paraId="3DB35A53" w14:textId="77777777" w:rsidR="00A06D12" w:rsidRPr="002E3D58" w:rsidRDefault="00A06D12" w:rsidP="00A06D12">
      <w:pPr>
        <w:numPr>
          <w:ilvl w:val="0"/>
          <w:numId w:val="18"/>
        </w:numPr>
        <w:rPr>
          <w:rFonts w:cstheme="minorHAnsi"/>
        </w:rPr>
      </w:pPr>
      <w:r w:rsidRPr="002E3D58">
        <w:rPr>
          <w:rFonts w:cstheme="minorHAnsi"/>
        </w:rPr>
        <w:t xml:space="preserve">What detailed plans support the strategy (e.g. action and delivery, communication and engagement, governance, risk, </w:t>
      </w:r>
      <w:proofErr w:type="gramStart"/>
      <w:r w:rsidRPr="002E3D58">
        <w:rPr>
          <w:rFonts w:cstheme="minorHAnsi"/>
        </w:rPr>
        <w:t>issues</w:t>
      </w:r>
      <w:proofErr w:type="gramEnd"/>
      <w:r w:rsidRPr="002E3D58">
        <w:rPr>
          <w:rFonts w:cstheme="minorHAnsi"/>
        </w:rPr>
        <w:t xml:space="preserve"> and support)? </w:t>
      </w:r>
    </w:p>
    <w:p w14:paraId="249D07D5" w14:textId="77777777" w:rsidR="00A06D12" w:rsidRDefault="00A06D12" w:rsidP="00A06D12">
      <w:pPr>
        <w:numPr>
          <w:ilvl w:val="0"/>
          <w:numId w:val="18"/>
        </w:numPr>
        <w:rPr>
          <w:rFonts w:cstheme="minorHAnsi"/>
        </w:rPr>
      </w:pPr>
      <w:r w:rsidRPr="002E3D58">
        <w:rPr>
          <w:rFonts w:cstheme="minorHAnsi"/>
        </w:rPr>
        <w:t>Are there internal policies relevant to the strategy?</w:t>
      </w:r>
    </w:p>
    <w:p w14:paraId="54D1B0EA" w14:textId="77777777" w:rsidR="002E3D58" w:rsidRPr="002E3D58" w:rsidRDefault="002E3D58" w:rsidP="002E3D58">
      <w:pPr>
        <w:ind w:left="360"/>
        <w:rPr>
          <w:rFonts w:cstheme="minorHAnsi"/>
        </w:rPr>
      </w:pPr>
    </w:p>
    <w:p w14:paraId="03184808" w14:textId="4D29D9A1" w:rsidR="00A06D12" w:rsidRPr="002E3D58" w:rsidRDefault="00A06D12" w:rsidP="002E3D58">
      <w:pPr>
        <w:pStyle w:val="PSC-Heading3"/>
      </w:pPr>
      <w:r w:rsidRPr="00A06D12">
        <w:t>Support</w:t>
      </w:r>
    </w:p>
    <w:p w14:paraId="15512D15" w14:textId="77777777" w:rsidR="003C788B" w:rsidRPr="00A06D12" w:rsidRDefault="003C788B" w:rsidP="003C788B">
      <w:pPr>
        <w:pStyle w:val="PSC-Heading3"/>
      </w:pPr>
    </w:p>
    <w:p w14:paraId="55901799" w14:textId="548397AA" w:rsidR="00A06D12" w:rsidRPr="002E3D58" w:rsidRDefault="00A06D12" w:rsidP="003C788B">
      <w:r w:rsidRPr="002E3D58">
        <w:t xml:space="preserve">Where workplace change is being considered, and likely to result in the displacement of employees, departments must consult with the PSC on the development of appropriate workforce strategies. This is in accordance with </w:t>
      </w:r>
      <w:r w:rsidR="00CB653C">
        <w:t xml:space="preserve">clause </w:t>
      </w:r>
      <w:r w:rsidR="00C51E10">
        <w:rPr>
          <w:i/>
        </w:rPr>
        <w:t>5</w:t>
      </w:r>
      <w:r w:rsidRPr="002E3D58">
        <w:rPr>
          <w:i/>
        </w:rPr>
        <w:t xml:space="preserve"> of </w:t>
      </w:r>
      <w:hyperlink r:id="rId11" w:history="1">
        <w:r w:rsidRPr="00CB653C">
          <w:rPr>
            <w:rStyle w:val="Hyperlink"/>
            <w:i/>
          </w:rPr>
          <w:t xml:space="preserve">Directive </w:t>
        </w:r>
        <w:r w:rsidR="00C51E10" w:rsidRPr="00CB653C">
          <w:rPr>
            <w:rStyle w:val="Hyperlink"/>
            <w:i/>
          </w:rPr>
          <w:t>01/22</w:t>
        </w:r>
        <w:r w:rsidRPr="00CB653C">
          <w:rPr>
            <w:rStyle w:val="Hyperlink"/>
            <w:i/>
          </w:rPr>
          <w:t>: Supporting employees affected by workplace change</w:t>
        </w:r>
      </w:hyperlink>
      <w:r w:rsidRPr="002E3D58">
        <w:rPr>
          <w:i/>
        </w:rPr>
        <w:t>.</w:t>
      </w:r>
    </w:p>
    <w:p w14:paraId="13E6275F" w14:textId="77777777" w:rsidR="00A06D12" w:rsidRPr="002E3D58" w:rsidRDefault="00A06D12" w:rsidP="003C788B"/>
    <w:p w14:paraId="7F81295F" w14:textId="77777777" w:rsidR="00A06D12" w:rsidRPr="002E3D58" w:rsidRDefault="00A06D12" w:rsidP="003C788B">
      <w:pPr>
        <w:rPr>
          <w:rFonts w:cstheme="minorHAnsi"/>
        </w:rPr>
      </w:pPr>
      <w:r w:rsidRPr="002E3D58">
        <w:rPr>
          <w:rFonts w:cstheme="minorHAnsi"/>
        </w:rPr>
        <w:t xml:space="preserve">The PSC will: </w:t>
      </w:r>
    </w:p>
    <w:p w14:paraId="191D14C1" w14:textId="77777777" w:rsidR="00A06D12" w:rsidRPr="002E3D58" w:rsidRDefault="00A06D12" w:rsidP="005449BB">
      <w:pPr>
        <w:pStyle w:val="ListParagraph"/>
        <w:numPr>
          <w:ilvl w:val="0"/>
          <w:numId w:val="22"/>
        </w:numPr>
        <w:rPr>
          <w:rFonts w:cstheme="minorHAnsi"/>
        </w:rPr>
      </w:pPr>
      <w:r w:rsidRPr="002E3D58">
        <w:rPr>
          <w:rFonts w:cstheme="minorHAnsi"/>
        </w:rPr>
        <w:t>provide whole-of-government strategic advice and guidance on workforce impacts and planning for change</w:t>
      </w:r>
    </w:p>
    <w:p w14:paraId="0BB1F1AE" w14:textId="77777777" w:rsidR="00A06D12" w:rsidRPr="002E3D58" w:rsidRDefault="00A06D12" w:rsidP="005449BB">
      <w:pPr>
        <w:pStyle w:val="ListParagraph"/>
        <w:numPr>
          <w:ilvl w:val="0"/>
          <w:numId w:val="22"/>
        </w:numPr>
        <w:rPr>
          <w:rFonts w:cstheme="minorHAnsi"/>
        </w:rPr>
      </w:pPr>
      <w:r w:rsidRPr="002E3D58">
        <w:rPr>
          <w:rFonts w:cstheme="minorHAnsi"/>
        </w:rPr>
        <w:t>support agencies to develop workforce change strategies that have consistent messages, application of directives and policies as well as best practice organisational change</w:t>
      </w:r>
    </w:p>
    <w:p w14:paraId="44915137" w14:textId="77777777" w:rsidR="00A06D12" w:rsidRPr="002E3D58" w:rsidRDefault="00A06D12" w:rsidP="005449BB">
      <w:pPr>
        <w:pStyle w:val="ListParagraph"/>
        <w:numPr>
          <w:ilvl w:val="0"/>
          <w:numId w:val="22"/>
        </w:numPr>
        <w:rPr>
          <w:rFonts w:cstheme="minorHAnsi"/>
        </w:rPr>
      </w:pPr>
      <w:r w:rsidRPr="002E3D58">
        <w:rPr>
          <w:rFonts w:cstheme="minorHAnsi"/>
        </w:rPr>
        <w:t>reduce delays in registering displaced employees for placement across the Queensland public service.</w:t>
      </w:r>
    </w:p>
    <w:p w14:paraId="15E57CE1" w14:textId="77777777" w:rsidR="00A06D12" w:rsidRPr="002E3D58" w:rsidRDefault="00A06D12" w:rsidP="003C788B">
      <w:pPr>
        <w:rPr>
          <w:rFonts w:cstheme="minorHAnsi"/>
        </w:rPr>
      </w:pPr>
    </w:p>
    <w:p w14:paraId="1FF48BAC" w14:textId="3D17DEAB" w:rsidR="00A06D12" w:rsidRPr="002E3D58" w:rsidRDefault="00A06D12" w:rsidP="003C788B">
      <w:pPr>
        <w:rPr>
          <w:rFonts w:cstheme="minorHAnsi"/>
          <w:b/>
          <w:u w:val="single"/>
        </w:rPr>
      </w:pPr>
      <w:r w:rsidRPr="002E3D58">
        <w:rPr>
          <w:rFonts w:cstheme="minorHAnsi"/>
        </w:rPr>
        <w:t xml:space="preserve">For more information, please email </w:t>
      </w:r>
      <w:hyperlink r:id="rId12" w:history="1">
        <w:r w:rsidR="00D214CC" w:rsidRPr="00D214CC">
          <w:rPr>
            <w:rStyle w:val="Hyperlink"/>
            <w:rFonts w:cstheme="minorHAnsi"/>
          </w:rPr>
          <w:t>employeeplacement@psc.qld.gov.au</w:t>
        </w:r>
      </w:hyperlink>
      <w:r w:rsidR="005449BB" w:rsidRPr="002E3D58">
        <w:rPr>
          <w:rFonts w:cstheme="minorHAnsi"/>
        </w:rPr>
        <w:t>.</w:t>
      </w:r>
    </w:p>
    <w:p w14:paraId="7FA0FB0E" w14:textId="77777777" w:rsidR="00A06D12" w:rsidRPr="008406E0" w:rsidRDefault="00A06D12" w:rsidP="00875901">
      <w:pPr>
        <w:rPr>
          <w:rFonts w:ascii="Arial" w:hAnsi="Arial" w:cs="Arial"/>
        </w:rPr>
      </w:pPr>
    </w:p>
    <w:sectPr w:rsidR="00A06D12" w:rsidRPr="008406E0" w:rsidSect="003C788B">
      <w:headerReference w:type="default" r:id="rId13"/>
      <w:footerReference w:type="even" r:id="rId14"/>
      <w:footerReference w:type="default" r:id="rId15"/>
      <w:headerReference w:type="first" r:id="rId16"/>
      <w:footerReference w:type="first" r:id="rId17"/>
      <w:pgSz w:w="11900" w:h="16840"/>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17A3" w14:textId="77777777" w:rsidR="00060B19" w:rsidRDefault="00060B19">
      <w:r>
        <w:separator/>
      </w:r>
    </w:p>
  </w:endnote>
  <w:endnote w:type="continuationSeparator" w:id="0">
    <w:p w14:paraId="4F35EE71" w14:textId="77777777" w:rsidR="00060B19" w:rsidRDefault="0006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7898693"/>
      <w:docPartObj>
        <w:docPartGallery w:val="Page Numbers (Bottom of Page)"/>
        <w:docPartUnique/>
      </w:docPartObj>
    </w:sdtPr>
    <w:sdtEndPr>
      <w:rPr>
        <w:rStyle w:val="PageNumber"/>
      </w:rPr>
    </w:sdtEndPr>
    <w:sdtContent>
      <w:p w14:paraId="1B442448" w14:textId="77777777" w:rsidR="00007EFA" w:rsidRDefault="00875901" w:rsidP="00E202A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39979728"/>
      <w:docPartObj>
        <w:docPartGallery w:val="Page Numbers (Bottom of Page)"/>
        <w:docPartUnique/>
      </w:docPartObj>
    </w:sdtPr>
    <w:sdtEndPr>
      <w:rPr>
        <w:rStyle w:val="PageNumber"/>
      </w:rPr>
    </w:sdtEndPr>
    <w:sdtContent>
      <w:p w14:paraId="2030ADBB" w14:textId="682EF29E" w:rsidR="00007EFA" w:rsidRDefault="00875901" w:rsidP="00007EFA">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5B508" w14:textId="77777777" w:rsidR="00007EFA" w:rsidRDefault="00CB653C" w:rsidP="00007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DD54" w14:textId="59F311E9" w:rsidR="00007EFA" w:rsidRPr="006B0E1A" w:rsidRDefault="006B0E1A" w:rsidP="006B0E1A">
    <w:pPr>
      <w:pStyle w:val="Footer"/>
      <w:rPr>
        <w:rFonts w:ascii="Arial" w:hAnsi="Arial" w:cs="Arial"/>
        <w:b/>
        <w:bCs/>
        <w:color w:val="007A6D"/>
        <w:sz w:val="22"/>
        <w:szCs w:val="22"/>
      </w:rPr>
    </w:pPr>
    <w:r w:rsidRPr="001B79DC">
      <w:rPr>
        <w:rFonts w:ascii="Arial" w:hAnsi="Arial" w:cs="Arial"/>
        <w:b/>
        <w:bCs/>
        <w:color w:val="007A6D"/>
        <w:sz w:val="22"/>
        <w:szCs w:val="22"/>
      </w:rPr>
      <w:fldChar w:fldCharType="begin"/>
    </w:r>
    <w:r w:rsidRPr="001B79DC">
      <w:rPr>
        <w:rFonts w:ascii="Arial" w:hAnsi="Arial" w:cs="Arial"/>
        <w:b/>
        <w:bCs/>
        <w:color w:val="007A6D"/>
        <w:sz w:val="22"/>
        <w:szCs w:val="22"/>
      </w:rPr>
      <w:instrText xml:space="preserve"> PAGE   \* MERGEFORMAT </w:instrText>
    </w:r>
    <w:r w:rsidRPr="001B79DC">
      <w:rPr>
        <w:rFonts w:ascii="Arial" w:hAnsi="Arial" w:cs="Arial"/>
        <w:b/>
        <w:bCs/>
        <w:color w:val="007A6D"/>
        <w:sz w:val="22"/>
        <w:szCs w:val="22"/>
      </w:rPr>
      <w:fldChar w:fldCharType="separate"/>
    </w:r>
    <w:r>
      <w:rPr>
        <w:rFonts w:ascii="Arial" w:hAnsi="Arial" w:cs="Arial"/>
        <w:b/>
        <w:bCs/>
        <w:color w:val="007A6D"/>
        <w:sz w:val="22"/>
        <w:szCs w:val="22"/>
      </w:rPr>
      <w:t>1</w:t>
    </w:r>
    <w:r w:rsidRPr="001B79DC">
      <w:rPr>
        <w:rFonts w:ascii="Arial" w:hAnsi="Arial" w:cs="Arial"/>
        <w:b/>
        <w:bCs/>
        <w:color w:val="007A6D"/>
        <w:sz w:val="22"/>
        <w:szCs w:val="22"/>
      </w:rPr>
      <w:fldChar w:fldCharType="end"/>
    </w:r>
    <w:r w:rsidRPr="001B79DC">
      <w:rPr>
        <w:rFonts w:ascii="Arial" w:hAnsi="Arial" w:cs="Arial"/>
        <w:b/>
        <w:bCs/>
        <w:color w:val="007A6D"/>
        <w:sz w:val="22"/>
        <w:szCs w:val="22"/>
      </w:rPr>
      <w:fldChar w:fldCharType="begin"/>
    </w:r>
    <w:r w:rsidRPr="001B79DC">
      <w:rPr>
        <w:rFonts w:ascii="Arial" w:hAnsi="Arial" w:cs="Arial"/>
        <w:b/>
        <w:bCs/>
        <w:color w:val="007A6D"/>
        <w:sz w:val="22"/>
        <w:szCs w:val="22"/>
      </w:rPr>
      <w:instrText xml:space="preserve"> QUOTE  " |"  </w:instrText>
    </w:r>
    <w:r w:rsidRPr="001B79DC">
      <w:rPr>
        <w:rFonts w:ascii="Arial" w:hAnsi="Arial" w:cs="Arial"/>
        <w:b/>
        <w:bCs/>
        <w:color w:val="007A6D"/>
        <w:sz w:val="22"/>
        <w:szCs w:val="22"/>
      </w:rPr>
      <w:fldChar w:fldCharType="separate"/>
    </w:r>
    <w:r w:rsidRPr="001B79DC">
      <w:rPr>
        <w:rFonts w:ascii="Arial" w:hAnsi="Arial" w:cs="Arial"/>
        <w:b/>
        <w:bCs/>
        <w:color w:val="007A6D"/>
        <w:sz w:val="22"/>
        <w:szCs w:val="22"/>
      </w:rPr>
      <w:t xml:space="preserve"> |</w:t>
    </w:r>
    <w:r w:rsidRPr="001B79DC">
      <w:rPr>
        <w:rFonts w:ascii="Arial" w:hAnsi="Arial" w:cs="Arial"/>
        <w:b/>
        <w:bCs/>
        <w:color w:val="007A6D"/>
        <w:sz w:val="22"/>
        <w:szCs w:val="22"/>
      </w:rPr>
      <w:fldChar w:fldCharType="end"/>
    </w:r>
    <w:r w:rsidRPr="001B79DC">
      <w:rPr>
        <w:rFonts w:ascii="Arial" w:hAnsi="Arial" w:cs="Arial"/>
        <w:b/>
        <w:bCs/>
        <w:color w:val="007A6D"/>
        <w:sz w:val="22"/>
        <w:szCs w:val="22"/>
      </w:rPr>
      <w:t xml:space="preserve"> </w:t>
    </w:r>
    <w:r w:rsidRPr="001B79DC">
      <w:rPr>
        <w:rFonts w:ascii="Arial" w:hAnsi="Arial" w:cs="Arial"/>
        <w:b/>
        <w:bCs/>
        <w:noProof/>
        <w:color w:val="007A6D"/>
        <w:sz w:val="22"/>
        <w:szCs w:val="22"/>
      </w:rPr>
      <w:fldChar w:fldCharType="begin"/>
    </w:r>
    <w:r w:rsidRPr="001B79DC">
      <w:rPr>
        <w:rFonts w:ascii="Arial" w:hAnsi="Arial" w:cs="Arial"/>
        <w:b/>
        <w:bCs/>
        <w:noProof/>
        <w:color w:val="007A6D"/>
        <w:sz w:val="22"/>
        <w:szCs w:val="22"/>
      </w:rPr>
      <w:instrText xml:space="preserve"> SUBJECT  \* FirstCap  \* MERGEFORMAT </w:instrText>
    </w:r>
    <w:r w:rsidRPr="001B79DC">
      <w:rPr>
        <w:rFonts w:ascii="Arial" w:hAnsi="Arial" w:cs="Arial"/>
        <w:b/>
        <w:bCs/>
        <w:noProof/>
        <w:color w:val="007A6D"/>
        <w:sz w:val="22"/>
        <w:szCs w:val="22"/>
      </w:rPr>
      <w:fldChar w:fldCharType="separate"/>
    </w:r>
    <w:r w:rsidRPr="001B79DC">
      <w:rPr>
        <w:rFonts w:ascii="Arial" w:hAnsi="Arial" w:cs="Arial"/>
        <w:b/>
        <w:bCs/>
        <w:noProof/>
        <w:color w:val="007A6D"/>
        <w:sz w:val="22"/>
        <w:szCs w:val="22"/>
      </w:rPr>
      <w:t>Workforce</w:t>
    </w:r>
    <w:r w:rsidRPr="001B79DC">
      <w:rPr>
        <w:rFonts w:ascii="Arial" w:hAnsi="Arial" w:cs="Arial"/>
        <w:b/>
        <w:bCs/>
        <w:color w:val="007A6D"/>
        <w:sz w:val="22"/>
        <w:szCs w:val="22"/>
      </w:rPr>
      <w:t xml:space="preserve"> change strategy implementation support guide</w:t>
    </w:r>
    <w:r w:rsidRPr="001B79DC">
      <w:rPr>
        <w:rFonts w:ascii="Arial" w:hAnsi="Arial" w:cs="Arial"/>
        <w:b/>
        <w:bCs/>
        <w:color w:val="007A6D"/>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F345" w14:textId="117D36A1" w:rsidR="00007EFA" w:rsidRPr="001B79DC" w:rsidRDefault="00B606E7" w:rsidP="00B606E7">
    <w:pPr>
      <w:pStyle w:val="Footer"/>
      <w:rPr>
        <w:rFonts w:ascii="Arial" w:hAnsi="Arial" w:cs="Arial"/>
        <w:b/>
        <w:bCs/>
        <w:color w:val="007A6D"/>
        <w:sz w:val="22"/>
        <w:szCs w:val="22"/>
      </w:rPr>
    </w:pPr>
    <w:r w:rsidRPr="001B79DC">
      <w:rPr>
        <w:rFonts w:ascii="Arial" w:hAnsi="Arial" w:cs="Arial"/>
        <w:b/>
        <w:bCs/>
        <w:color w:val="007A6D"/>
        <w:sz w:val="22"/>
        <w:szCs w:val="22"/>
      </w:rPr>
      <w:fldChar w:fldCharType="begin"/>
    </w:r>
    <w:r w:rsidRPr="001B79DC">
      <w:rPr>
        <w:rFonts w:ascii="Arial" w:hAnsi="Arial" w:cs="Arial"/>
        <w:b/>
        <w:bCs/>
        <w:color w:val="007A6D"/>
        <w:sz w:val="22"/>
        <w:szCs w:val="22"/>
      </w:rPr>
      <w:instrText xml:space="preserve"> PAGE   \* MERGEFORMAT </w:instrText>
    </w:r>
    <w:r w:rsidRPr="001B79DC">
      <w:rPr>
        <w:rFonts w:ascii="Arial" w:hAnsi="Arial" w:cs="Arial"/>
        <w:b/>
        <w:bCs/>
        <w:color w:val="007A6D"/>
        <w:sz w:val="22"/>
        <w:szCs w:val="22"/>
      </w:rPr>
      <w:fldChar w:fldCharType="separate"/>
    </w:r>
    <w:r w:rsidRPr="001B79DC">
      <w:rPr>
        <w:rFonts w:ascii="Arial" w:hAnsi="Arial" w:cs="Arial"/>
        <w:b/>
        <w:bCs/>
        <w:noProof/>
        <w:color w:val="007A6D"/>
        <w:sz w:val="22"/>
        <w:szCs w:val="22"/>
      </w:rPr>
      <w:t>3</w:t>
    </w:r>
    <w:r w:rsidRPr="001B79DC">
      <w:rPr>
        <w:rFonts w:ascii="Arial" w:hAnsi="Arial" w:cs="Arial"/>
        <w:b/>
        <w:bCs/>
        <w:color w:val="007A6D"/>
        <w:sz w:val="22"/>
        <w:szCs w:val="22"/>
      </w:rPr>
      <w:fldChar w:fldCharType="end"/>
    </w:r>
    <w:r w:rsidR="00AA27C9" w:rsidRPr="001B79DC">
      <w:rPr>
        <w:rFonts w:ascii="Arial" w:hAnsi="Arial" w:cs="Arial"/>
        <w:b/>
        <w:bCs/>
        <w:color w:val="007A6D"/>
        <w:sz w:val="22"/>
        <w:szCs w:val="22"/>
      </w:rPr>
      <w:fldChar w:fldCharType="begin"/>
    </w:r>
    <w:r w:rsidR="00AA27C9" w:rsidRPr="001B79DC">
      <w:rPr>
        <w:rFonts w:ascii="Arial" w:hAnsi="Arial" w:cs="Arial"/>
        <w:b/>
        <w:bCs/>
        <w:color w:val="007A6D"/>
        <w:sz w:val="22"/>
        <w:szCs w:val="22"/>
      </w:rPr>
      <w:instrText xml:space="preserve"> QUOTE  " |"  </w:instrText>
    </w:r>
    <w:r w:rsidR="00AA27C9" w:rsidRPr="001B79DC">
      <w:rPr>
        <w:rFonts w:ascii="Arial" w:hAnsi="Arial" w:cs="Arial"/>
        <w:b/>
        <w:bCs/>
        <w:color w:val="007A6D"/>
        <w:sz w:val="22"/>
        <w:szCs w:val="22"/>
      </w:rPr>
      <w:fldChar w:fldCharType="separate"/>
    </w:r>
    <w:r w:rsidR="00AA27C9" w:rsidRPr="001B79DC">
      <w:rPr>
        <w:rFonts w:ascii="Arial" w:hAnsi="Arial" w:cs="Arial"/>
        <w:b/>
        <w:bCs/>
        <w:color w:val="007A6D"/>
        <w:sz w:val="22"/>
        <w:szCs w:val="22"/>
      </w:rPr>
      <w:t xml:space="preserve"> |</w:t>
    </w:r>
    <w:r w:rsidR="00AA27C9" w:rsidRPr="001B79DC">
      <w:rPr>
        <w:rFonts w:ascii="Arial" w:hAnsi="Arial" w:cs="Arial"/>
        <w:b/>
        <w:bCs/>
        <w:color w:val="007A6D"/>
        <w:sz w:val="22"/>
        <w:szCs w:val="22"/>
      </w:rPr>
      <w:fldChar w:fldCharType="end"/>
    </w:r>
    <w:r w:rsidR="00250592" w:rsidRPr="001B79DC">
      <w:rPr>
        <w:rFonts w:ascii="Arial" w:hAnsi="Arial" w:cs="Arial"/>
        <w:b/>
        <w:bCs/>
        <w:color w:val="007A6D"/>
        <w:sz w:val="22"/>
        <w:szCs w:val="22"/>
      </w:rPr>
      <w:t xml:space="preserve"> </w:t>
    </w:r>
    <w:r w:rsidR="0080635D" w:rsidRPr="001B79DC">
      <w:rPr>
        <w:rFonts w:ascii="Arial" w:hAnsi="Arial" w:cs="Arial"/>
        <w:b/>
        <w:bCs/>
        <w:noProof/>
        <w:color w:val="007A6D"/>
        <w:sz w:val="22"/>
        <w:szCs w:val="22"/>
      </w:rPr>
      <w:fldChar w:fldCharType="begin"/>
    </w:r>
    <w:r w:rsidR="0080635D" w:rsidRPr="001B79DC">
      <w:rPr>
        <w:rFonts w:ascii="Arial" w:hAnsi="Arial" w:cs="Arial"/>
        <w:b/>
        <w:bCs/>
        <w:noProof/>
        <w:color w:val="007A6D"/>
        <w:sz w:val="22"/>
        <w:szCs w:val="22"/>
      </w:rPr>
      <w:instrText xml:space="preserve"> SUBJECT  \* FirstCap  \* MERGEFORMAT </w:instrText>
    </w:r>
    <w:r w:rsidR="0080635D" w:rsidRPr="001B79DC">
      <w:rPr>
        <w:rFonts w:ascii="Arial" w:hAnsi="Arial" w:cs="Arial"/>
        <w:b/>
        <w:bCs/>
        <w:noProof/>
        <w:color w:val="007A6D"/>
        <w:sz w:val="22"/>
        <w:szCs w:val="22"/>
      </w:rPr>
      <w:fldChar w:fldCharType="separate"/>
    </w:r>
    <w:r w:rsidR="0080635D" w:rsidRPr="001B79DC">
      <w:rPr>
        <w:rFonts w:ascii="Arial" w:hAnsi="Arial" w:cs="Arial"/>
        <w:b/>
        <w:bCs/>
        <w:noProof/>
        <w:color w:val="007A6D"/>
        <w:sz w:val="22"/>
        <w:szCs w:val="22"/>
      </w:rPr>
      <w:t>Workforce</w:t>
    </w:r>
    <w:r w:rsidR="0080635D" w:rsidRPr="001B79DC">
      <w:rPr>
        <w:rFonts w:ascii="Arial" w:hAnsi="Arial" w:cs="Arial"/>
        <w:b/>
        <w:bCs/>
        <w:color w:val="007A6D"/>
        <w:sz w:val="22"/>
        <w:szCs w:val="22"/>
      </w:rPr>
      <w:t xml:space="preserve"> change strategy implementation support guide</w:t>
    </w:r>
    <w:r w:rsidR="0080635D" w:rsidRPr="001B79DC">
      <w:rPr>
        <w:rFonts w:ascii="Arial" w:hAnsi="Arial" w:cs="Arial"/>
        <w:b/>
        <w:bCs/>
        <w:color w:val="007A6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6CB3" w14:textId="77777777" w:rsidR="00060B19" w:rsidRDefault="00060B19">
      <w:r>
        <w:separator/>
      </w:r>
    </w:p>
  </w:footnote>
  <w:footnote w:type="continuationSeparator" w:id="0">
    <w:p w14:paraId="52CF2147" w14:textId="77777777" w:rsidR="00060B19" w:rsidRDefault="0006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7188" w14:textId="77777777" w:rsidR="008442F7" w:rsidRDefault="00875901">
    <w:pPr>
      <w:pStyle w:val="Header"/>
    </w:pPr>
    <w:r>
      <w:rPr>
        <w:noProof/>
      </w:rPr>
      <w:drawing>
        <wp:anchor distT="0" distB="0" distL="114300" distR="114300" simplePos="0" relativeHeight="251659264" behindDoc="1" locked="1" layoutInCell="1" allowOverlap="1" wp14:anchorId="327F2F90" wp14:editId="5450704B">
          <wp:simplePos x="0" y="0"/>
          <wp:positionH relativeFrom="page">
            <wp:align>center</wp:align>
          </wp:positionH>
          <wp:positionV relativeFrom="page">
            <wp:align>top</wp:align>
          </wp:positionV>
          <wp:extent cx="7560000" cy="10695600"/>
          <wp:effectExtent l="0" t="0" r="0" b="0"/>
          <wp:wrapNone/>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0---PSC-Position-Description-Word-Template-Alteration---V0-05-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5AFD" w14:textId="77777777" w:rsidR="008442F7" w:rsidRDefault="00875901" w:rsidP="006B312D">
    <w:pPr>
      <w:pStyle w:val="Header"/>
    </w:pPr>
    <w:r>
      <w:rPr>
        <w:noProof/>
      </w:rPr>
      <w:drawing>
        <wp:anchor distT="0" distB="0" distL="114300" distR="114300" simplePos="0" relativeHeight="251660288" behindDoc="1" locked="1" layoutInCell="1" allowOverlap="1" wp14:anchorId="2CF0C3F1" wp14:editId="3E34B2DD">
          <wp:simplePos x="0" y="0"/>
          <wp:positionH relativeFrom="page">
            <wp:align>center</wp:align>
          </wp:positionH>
          <wp:positionV relativeFrom="page">
            <wp:align>top</wp:align>
          </wp:positionV>
          <wp:extent cx="7560000" cy="10695600"/>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20---PSC-Position-Description-Word-Template-Alteration---V0-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7A9"/>
    <w:multiLevelType w:val="multilevel"/>
    <w:tmpl w:val="36861296"/>
    <w:lvl w:ilvl="0">
      <w:start w:val="1"/>
      <w:numFmt w:val="bullet"/>
      <w:lvlText w:val="–"/>
      <w:lvlJc w:val="left"/>
      <w:pPr>
        <w:ind w:left="1074" w:hanging="360"/>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1" w15:restartNumberingAfterBreak="0">
    <w:nsid w:val="06E357DC"/>
    <w:multiLevelType w:val="multilevel"/>
    <w:tmpl w:val="3BF6B076"/>
    <w:lvl w:ilvl="0">
      <w:start w:val="1"/>
      <w:numFmt w:val="bullet"/>
      <w:lvlText w:val="–"/>
      <w:lvlJc w:val="left"/>
      <w:pPr>
        <w:ind w:left="113" w:firstLine="607"/>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2" w15:restartNumberingAfterBreak="0">
    <w:nsid w:val="1BF77C7A"/>
    <w:multiLevelType w:val="hybridMultilevel"/>
    <w:tmpl w:val="CEC291B0"/>
    <w:lvl w:ilvl="0" w:tplc="7518835C">
      <w:start w:val="1"/>
      <w:numFmt w:val="bullet"/>
      <w:pStyle w:val="PSC-Bullets2"/>
      <w:lvlText w:val="·"/>
      <w:lvlJc w:val="left"/>
      <w:pPr>
        <w:ind w:left="720" w:hanging="360"/>
      </w:pPr>
      <w:rPr>
        <w:rFonts w:ascii="Symbol" w:hAnsi="Symbol" w:cs="Symbol" w:hint="default"/>
        <w:b/>
        <w:i w:val="0"/>
        <w:color w:val="60C3A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C55611"/>
    <w:multiLevelType w:val="hybridMultilevel"/>
    <w:tmpl w:val="4150F934"/>
    <w:lvl w:ilvl="0" w:tplc="EF043388">
      <w:start w:val="1"/>
      <w:numFmt w:val="bullet"/>
      <w:pStyle w:val="PSC-Bullets3"/>
      <w:lvlText w:val="–"/>
      <w:lvlJc w:val="left"/>
      <w:pPr>
        <w:tabs>
          <w:tab w:val="num" w:pos="1418"/>
        </w:tabs>
        <w:ind w:left="1077" w:hanging="357"/>
      </w:pPr>
      <w:rPr>
        <w:rFonts w:ascii="Arial Black" w:hAnsi="Arial Black" w:cs="Symbol" w:hint="default"/>
        <w:b/>
        <w:i w:val="0"/>
        <w:color w:val="60C3AD"/>
        <w:w w:val="100"/>
        <w:kern w:val="0"/>
        <w14:cntxtAlts w14:val="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cs="Wingdings" w:hint="default"/>
      </w:rPr>
    </w:lvl>
    <w:lvl w:ilvl="3" w:tplc="08090001" w:tentative="1">
      <w:start w:val="1"/>
      <w:numFmt w:val="bullet"/>
      <w:lvlText w:val=""/>
      <w:lvlJc w:val="left"/>
      <w:pPr>
        <w:ind w:left="3234" w:hanging="360"/>
      </w:pPr>
      <w:rPr>
        <w:rFonts w:ascii="Symbol" w:hAnsi="Symbol" w:cs="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cs="Wingdings" w:hint="default"/>
      </w:rPr>
    </w:lvl>
    <w:lvl w:ilvl="6" w:tplc="08090001" w:tentative="1">
      <w:start w:val="1"/>
      <w:numFmt w:val="bullet"/>
      <w:lvlText w:val=""/>
      <w:lvlJc w:val="left"/>
      <w:pPr>
        <w:ind w:left="5394" w:hanging="360"/>
      </w:pPr>
      <w:rPr>
        <w:rFonts w:ascii="Symbol" w:hAnsi="Symbol" w:cs="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cs="Wingdings" w:hint="default"/>
      </w:rPr>
    </w:lvl>
  </w:abstractNum>
  <w:abstractNum w:abstractNumId="4" w15:restartNumberingAfterBreak="0">
    <w:nsid w:val="1DD473D5"/>
    <w:multiLevelType w:val="hybridMultilevel"/>
    <w:tmpl w:val="104EF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81BD2"/>
    <w:multiLevelType w:val="multilevel"/>
    <w:tmpl w:val="EA1E3504"/>
    <w:lvl w:ilvl="0">
      <w:start w:val="1"/>
      <w:numFmt w:val="bullet"/>
      <w:lvlText w:val="–"/>
      <w:lvlJc w:val="left"/>
      <w:pPr>
        <w:ind w:left="170" w:firstLine="550"/>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6" w15:restartNumberingAfterBreak="0">
    <w:nsid w:val="2002278A"/>
    <w:multiLevelType w:val="multilevel"/>
    <w:tmpl w:val="B2285E00"/>
    <w:lvl w:ilvl="0">
      <w:start w:val="1"/>
      <w:numFmt w:val="bullet"/>
      <w:lvlText w:val="–"/>
      <w:lvlJc w:val="left"/>
      <w:pPr>
        <w:tabs>
          <w:tab w:val="num" w:pos="851"/>
        </w:tabs>
        <w:ind w:left="454" w:firstLine="266"/>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7" w15:restartNumberingAfterBreak="0">
    <w:nsid w:val="27C034A8"/>
    <w:multiLevelType w:val="multilevel"/>
    <w:tmpl w:val="36861296"/>
    <w:lvl w:ilvl="0">
      <w:start w:val="1"/>
      <w:numFmt w:val="bullet"/>
      <w:lvlText w:val="–"/>
      <w:lvlJc w:val="left"/>
      <w:pPr>
        <w:ind w:left="1074" w:hanging="360"/>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8" w15:restartNumberingAfterBreak="0">
    <w:nsid w:val="2F336396"/>
    <w:multiLevelType w:val="multilevel"/>
    <w:tmpl w:val="DAF4789C"/>
    <w:lvl w:ilvl="0">
      <w:start w:val="1"/>
      <w:numFmt w:val="bullet"/>
      <w:lvlText w:val="–"/>
      <w:lvlJc w:val="left"/>
      <w:pPr>
        <w:ind w:left="720" w:hanging="210"/>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9" w15:restartNumberingAfterBreak="0">
    <w:nsid w:val="35B93320"/>
    <w:multiLevelType w:val="multilevel"/>
    <w:tmpl w:val="2B34F6BE"/>
    <w:lvl w:ilvl="0">
      <w:start w:val="1"/>
      <w:numFmt w:val="bullet"/>
      <w:lvlText w:val="–"/>
      <w:lvlJc w:val="left"/>
      <w:pPr>
        <w:ind w:left="357" w:firstLine="363"/>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10" w15:restartNumberingAfterBreak="0">
    <w:nsid w:val="3AA2241E"/>
    <w:multiLevelType w:val="multilevel"/>
    <w:tmpl w:val="B3DC9FCE"/>
    <w:lvl w:ilvl="0">
      <w:start w:val="1"/>
      <w:numFmt w:val="bullet"/>
      <w:lvlText w:val="–"/>
      <w:lvlJc w:val="left"/>
      <w:pPr>
        <w:ind w:left="720" w:hanging="363"/>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11" w15:restartNumberingAfterBreak="0">
    <w:nsid w:val="3BE62FEE"/>
    <w:multiLevelType w:val="multilevel"/>
    <w:tmpl w:val="71D42FF0"/>
    <w:lvl w:ilvl="0">
      <w:start w:val="1"/>
      <w:numFmt w:val="bullet"/>
      <w:lvlText w:val="–"/>
      <w:lvlJc w:val="left"/>
      <w:pPr>
        <w:tabs>
          <w:tab w:val="num" w:pos="1418"/>
        </w:tabs>
        <w:ind w:left="907" w:hanging="187"/>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12" w15:restartNumberingAfterBreak="0">
    <w:nsid w:val="41F8086B"/>
    <w:multiLevelType w:val="hybridMultilevel"/>
    <w:tmpl w:val="3704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F3196F"/>
    <w:multiLevelType w:val="multilevel"/>
    <w:tmpl w:val="7C0C7A9A"/>
    <w:lvl w:ilvl="0">
      <w:start w:val="1"/>
      <w:numFmt w:val="bullet"/>
      <w:lvlText w:val="–"/>
      <w:lvlJc w:val="left"/>
      <w:pPr>
        <w:tabs>
          <w:tab w:val="num" w:pos="1077"/>
        </w:tabs>
        <w:ind w:left="454" w:firstLine="266"/>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14" w15:restartNumberingAfterBreak="0">
    <w:nsid w:val="5D9F5625"/>
    <w:multiLevelType w:val="multilevel"/>
    <w:tmpl w:val="CA4E9372"/>
    <w:lvl w:ilvl="0">
      <w:start w:val="1"/>
      <w:numFmt w:val="bullet"/>
      <w:lvlText w:val="–"/>
      <w:lvlJc w:val="left"/>
      <w:pPr>
        <w:tabs>
          <w:tab w:val="num" w:pos="720"/>
        </w:tabs>
        <w:ind w:left="113" w:firstLine="607"/>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15" w15:restartNumberingAfterBreak="0">
    <w:nsid w:val="60E91CC4"/>
    <w:multiLevelType w:val="hybridMultilevel"/>
    <w:tmpl w:val="3A02AF5C"/>
    <w:lvl w:ilvl="0" w:tplc="D66C7820">
      <w:start w:val="1"/>
      <w:numFmt w:val="decimal"/>
      <w:pStyle w:val="PSC-Bullet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E570F"/>
    <w:multiLevelType w:val="multilevel"/>
    <w:tmpl w:val="8EBC494A"/>
    <w:lvl w:ilvl="0">
      <w:start w:val="1"/>
      <w:numFmt w:val="bullet"/>
      <w:lvlText w:val="–"/>
      <w:lvlJc w:val="left"/>
      <w:pPr>
        <w:tabs>
          <w:tab w:val="num" w:pos="1247"/>
        </w:tabs>
        <w:ind w:left="907" w:hanging="187"/>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17" w15:restartNumberingAfterBreak="0">
    <w:nsid w:val="664232C2"/>
    <w:multiLevelType w:val="hybridMultilevel"/>
    <w:tmpl w:val="0486C2B8"/>
    <w:lvl w:ilvl="0" w:tplc="0C090001">
      <w:start w:val="1"/>
      <w:numFmt w:val="bullet"/>
      <w:lvlText w:val=""/>
      <w:lvlJc w:val="left"/>
      <w:pPr>
        <w:ind w:left="360" w:hanging="360"/>
      </w:pPr>
      <w:rPr>
        <w:rFonts w:ascii="Symbol" w:hAnsi="Symbol" w:hint="default"/>
      </w:rPr>
    </w:lvl>
    <w:lvl w:ilvl="1" w:tplc="9B22FD4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C468B0"/>
    <w:multiLevelType w:val="hybridMultilevel"/>
    <w:tmpl w:val="D0B401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8362E2"/>
    <w:multiLevelType w:val="hybridMultilevel"/>
    <w:tmpl w:val="A816F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C1014A"/>
    <w:multiLevelType w:val="multilevel"/>
    <w:tmpl w:val="0DE8F546"/>
    <w:lvl w:ilvl="0">
      <w:start w:val="1"/>
      <w:numFmt w:val="bullet"/>
      <w:lvlText w:val="–"/>
      <w:lvlJc w:val="left"/>
      <w:pPr>
        <w:tabs>
          <w:tab w:val="num" w:pos="851"/>
        </w:tabs>
        <w:ind w:left="170" w:firstLine="550"/>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abstractNum w:abstractNumId="21" w15:restartNumberingAfterBreak="0">
    <w:nsid w:val="75894919"/>
    <w:multiLevelType w:val="multilevel"/>
    <w:tmpl w:val="AE08D524"/>
    <w:lvl w:ilvl="0">
      <w:start w:val="1"/>
      <w:numFmt w:val="bullet"/>
      <w:lvlText w:val="–"/>
      <w:lvlJc w:val="left"/>
      <w:pPr>
        <w:tabs>
          <w:tab w:val="num" w:pos="1077"/>
        </w:tabs>
        <w:ind w:left="907" w:hanging="187"/>
      </w:pPr>
      <w:rPr>
        <w:rFonts w:ascii="Arial Black" w:hAnsi="Arial Black" w:cs="Symbol" w:hint="default"/>
        <w:b/>
        <w:i w:val="0"/>
        <w:color w:val="60C3AD"/>
        <w:w w:val="100"/>
        <w:kern w:val="0"/>
        <w14:cntxtAlts w14:val="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cs="Wingdings" w:hint="default"/>
      </w:rPr>
    </w:lvl>
  </w:abstractNum>
  <w:num w:numId="1" w16cid:durableId="1057123184">
    <w:abstractNumId w:val="15"/>
  </w:num>
  <w:num w:numId="2" w16cid:durableId="1201941766">
    <w:abstractNumId w:val="2"/>
  </w:num>
  <w:num w:numId="3" w16cid:durableId="1613703230">
    <w:abstractNumId w:val="3"/>
  </w:num>
  <w:num w:numId="4" w16cid:durableId="520820549">
    <w:abstractNumId w:val="7"/>
  </w:num>
  <w:num w:numId="5" w16cid:durableId="179705772">
    <w:abstractNumId w:val="0"/>
  </w:num>
  <w:num w:numId="6" w16cid:durableId="88237838">
    <w:abstractNumId w:val="10"/>
  </w:num>
  <w:num w:numId="7" w16cid:durableId="1260602203">
    <w:abstractNumId w:val="8"/>
  </w:num>
  <w:num w:numId="8" w16cid:durableId="285477227">
    <w:abstractNumId w:val="9"/>
  </w:num>
  <w:num w:numId="9" w16cid:durableId="544875173">
    <w:abstractNumId w:val="5"/>
  </w:num>
  <w:num w:numId="10" w16cid:durableId="1024593846">
    <w:abstractNumId w:val="14"/>
  </w:num>
  <w:num w:numId="11" w16cid:durableId="904487457">
    <w:abstractNumId w:val="1"/>
  </w:num>
  <w:num w:numId="12" w16cid:durableId="1376999865">
    <w:abstractNumId w:val="20"/>
  </w:num>
  <w:num w:numId="13" w16cid:durableId="1422528126">
    <w:abstractNumId w:val="6"/>
  </w:num>
  <w:num w:numId="14" w16cid:durableId="985669221">
    <w:abstractNumId w:val="13"/>
  </w:num>
  <w:num w:numId="15" w16cid:durableId="72089701">
    <w:abstractNumId w:val="21"/>
  </w:num>
  <w:num w:numId="16" w16cid:durableId="674722729">
    <w:abstractNumId w:val="16"/>
  </w:num>
  <w:num w:numId="17" w16cid:durableId="1253245149">
    <w:abstractNumId w:val="11"/>
  </w:num>
  <w:num w:numId="18" w16cid:durableId="1531147398">
    <w:abstractNumId w:val="18"/>
  </w:num>
  <w:num w:numId="19" w16cid:durableId="13046168">
    <w:abstractNumId w:val="19"/>
  </w:num>
  <w:num w:numId="20" w16cid:durableId="371345195">
    <w:abstractNumId w:val="17"/>
  </w:num>
  <w:num w:numId="21" w16cid:durableId="1064332586">
    <w:abstractNumId w:val="12"/>
  </w:num>
  <w:num w:numId="22" w16cid:durableId="1651057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12"/>
    <w:rsid w:val="00060B19"/>
    <w:rsid w:val="000E674B"/>
    <w:rsid w:val="00100FA6"/>
    <w:rsid w:val="00104112"/>
    <w:rsid w:val="00166B00"/>
    <w:rsid w:val="001A2B6C"/>
    <w:rsid w:val="001B79DC"/>
    <w:rsid w:val="00226CFE"/>
    <w:rsid w:val="00250592"/>
    <w:rsid w:val="002E0984"/>
    <w:rsid w:val="002E3D58"/>
    <w:rsid w:val="003602CA"/>
    <w:rsid w:val="0037658C"/>
    <w:rsid w:val="003C788B"/>
    <w:rsid w:val="004C5B2E"/>
    <w:rsid w:val="005260BF"/>
    <w:rsid w:val="005449BB"/>
    <w:rsid w:val="006B0E1A"/>
    <w:rsid w:val="006B39AE"/>
    <w:rsid w:val="00715014"/>
    <w:rsid w:val="00720B26"/>
    <w:rsid w:val="00795625"/>
    <w:rsid w:val="007D6619"/>
    <w:rsid w:val="007E0D9F"/>
    <w:rsid w:val="0080635D"/>
    <w:rsid w:val="00821753"/>
    <w:rsid w:val="00875901"/>
    <w:rsid w:val="008B5996"/>
    <w:rsid w:val="008E2524"/>
    <w:rsid w:val="00942EFD"/>
    <w:rsid w:val="009A4009"/>
    <w:rsid w:val="00A06D12"/>
    <w:rsid w:val="00A64BDB"/>
    <w:rsid w:val="00AA27C9"/>
    <w:rsid w:val="00AD6AC4"/>
    <w:rsid w:val="00B4527F"/>
    <w:rsid w:val="00B500D6"/>
    <w:rsid w:val="00B606E7"/>
    <w:rsid w:val="00B938F2"/>
    <w:rsid w:val="00BD4A42"/>
    <w:rsid w:val="00C13A7C"/>
    <w:rsid w:val="00C51E10"/>
    <w:rsid w:val="00C70B0B"/>
    <w:rsid w:val="00C722D1"/>
    <w:rsid w:val="00CB653C"/>
    <w:rsid w:val="00D214CC"/>
    <w:rsid w:val="00D67627"/>
    <w:rsid w:val="00D921DB"/>
    <w:rsid w:val="00DC358B"/>
    <w:rsid w:val="00E07530"/>
    <w:rsid w:val="00E44D3A"/>
    <w:rsid w:val="00E8430D"/>
    <w:rsid w:val="00E96AE1"/>
    <w:rsid w:val="00EF620B"/>
    <w:rsid w:val="00F02D7B"/>
    <w:rsid w:val="00FC5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2683"/>
  <w15:chartTrackingRefBased/>
  <w15:docId w15:val="{968F0CB2-CB33-4742-914D-2BEBBF7F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901"/>
    <w:pPr>
      <w:tabs>
        <w:tab w:val="center" w:pos="4513"/>
        <w:tab w:val="right" w:pos="9026"/>
      </w:tabs>
    </w:pPr>
  </w:style>
  <w:style w:type="character" w:customStyle="1" w:styleId="HeaderChar">
    <w:name w:val="Header Char"/>
    <w:basedOn w:val="DefaultParagraphFont"/>
    <w:link w:val="Header"/>
    <w:uiPriority w:val="99"/>
    <w:rsid w:val="00875901"/>
  </w:style>
  <w:style w:type="paragraph" w:styleId="Footer">
    <w:name w:val="footer"/>
    <w:basedOn w:val="Normal"/>
    <w:link w:val="FooterChar"/>
    <w:uiPriority w:val="99"/>
    <w:unhideWhenUsed/>
    <w:rsid w:val="00875901"/>
    <w:pPr>
      <w:tabs>
        <w:tab w:val="center" w:pos="4513"/>
        <w:tab w:val="right" w:pos="9026"/>
      </w:tabs>
    </w:pPr>
  </w:style>
  <w:style w:type="character" w:customStyle="1" w:styleId="FooterChar">
    <w:name w:val="Footer Char"/>
    <w:basedOn w:val="DefaultParagraphFont"/>
    <w:link w:val="Footer"/>
    <w:uiPriority w:val="99"/>
    <w:rsid w:val="00875901"/>
  </w:style>
  <w:style w:type="paragraph" w:customStyle="1" w:styleId="PSC-Titleofdocument">
    <w:name w:val="PSC - Title of document"/>
    <w:basedOn w:val="Normal"/>
    <w:qFormat/>
    <w:rsid w:val="00875901"/>
    <w:pPr>
      <w:pBdr>
        <w:bottom w:val="single" w:sz="36" w:space="1" w:color="60C3AD"/>
      </w:pBdr>
    </w:pPr>
    <w:rPr>
      <w:rFonts w:ascii="Arial" w:hAnsi="Arial" w:cs="Arial"/>
      <w:b/>
      <w:bCs/>
      <w:sz w:val="64"/>
      <w:szCs w:val="64"/>
    </w:rPr>
  </w:style>
  <w:style w:type="character" w:styleId="PageNumber">
    <w:name w:val="page number"/>
    <w:basedOn w:val="DefaultParagraphFont"/>
    <w:uiPriority w:val="99"/>
    <w:semiHidden/>
    <w:unhideWhenUsed/>
    <w:rsid w:val="00875901"/>
  </w:style>
  <w:style w:type="paragraph" w:customStyle="1" w:styleId="PSCSubtitle">
    <w:name w:val="PSC Subtitle"/>
    <w:basedOn w:val="Normal"/>
    <w:qFormat/>
    <w:rsid w:val="00875901"/>
    <w:rPr>
      <w:rFonts w:ascii="Arial" w:hAnsi="Arial" w:cs="Arial"/>
      <w:sz w:val="36"/>
      <w:szCs w:val="32"/>
    </w:rPr>
  </w:style>
  <w:style w:type="paragraph" w:customStyle="1" w:styleId="PSC-Heading1">
    <w:name w:val="PSC - Heading 1"/>
    <w:basedOn w:val="Normal"/>
    <w:qFormat/>
    <w:rsid w:val="00875901"/>
    <w:rPr>
      <w:rFonts w:ascii="Arial" w:hAnsi="Arial" w:cs="Arial"/>
      <w:color w:val="007A6D"/>
      <w:sz w:val="36"/>
      <w:szCs w:val="32"/>
    </w:rPr>
  </w:style>
  <w:style w:type="paragraph" w:customStyle="1" w:styleId="PSC-Heading2">
    <w:name w:val="PSC - Heading 2"/>
    <w:basedOn w:val="Normal"/>
    <w:qFormat/>
    <w:rsid w:val="00875901"/>
    <w:rPr>
      <w:rFonts w:ascii="Arial" w:hAnsi="Arial" w:cs="Arial"/>
      <w:sz w:val="32"/>
      <w:szCs w:val="28"/>
    </w:rPr>
  </w:style>
  <w:style w:type="paragraph" w:customStyle="1" w:styleId="PSC-bodycopy">
    <w:name w:val="PSC - body copy"/>
    <w:basedOn w:val="Normal"/>
    <w:qFormat/>
    <w:rsid w:val="00875901"/>
    <w:rPr>
      <w:rFonts w:ascii="Arial" w:hAnsi="Arial" w:cs="Arial"/>
      <w:sz w:val="22"/>
    </w:rPr>
  </w:style>
  <w:style w:type="paragraph" w:customStyle="1" w:styleId="PSC-Heading3">
    <w:name w:val="PSC - Heading 3"/>
    <w:basedOn w:val="Normal"/>
    <w:qFormat/>
    <w:rsid w:val="00875901"/>
    <w:rPr>
      <w:rFonts w:ascii="Arial" w:hAnsi="Arial" w:cs="Arial"/>
      <w:sz w:val="28"/>
    </w:rPr>
  </w:style>
  <w:style w:type="paragraph" w:customStyle="1" w:styleId="PSC-Bullets1">
    <w:name w:val="PSC - Bullets #1"/>
    <w:basedOn w:val="ListParagraph"/>
    <w:qFormat/>
    <w:rsid w:val="004C5B2E"/>
    <w:pPr>
      <w:numPr>
        <w:numId w:val="1"/>
      </w:numPr>
      <w:tabs>
        <w:tab w:val="num" w:pos="360"/>
      </w:tabs>
      <w:spacing w:before="120" w:after="120"/>
      <w:ind w:left="714" w:hanging="357"/>
    </w:pPr>
    <w:rPr>
      <w:rFonts w:ascii="Arial" w:hAnsi="Arial" w:cs="Arial"/>
      <w:sz w:val="22"/>
    </w:rPr>
  </w:style>
  <w:style w:type="paragraph" w:customStyle="1" w:styleId="PSC-Bullets2">
    <w:name w:val="PSC - Bullets #2"/>
    <w:basedOn w:val="ListParagraph"/>
    <w:qFormat/>
    <w:rsid w:val="004C5B2E"/>
    <w:pPr>
      <w:numPr>
        <w:numId w:val="2"/>
      </w:numPr>
      <w:tabs>
        <w:tab w:val="num" w:pos="360"/>
      </w:tabs>
      <w:spacing w:before="120" w:after="120"/>
      <w:ind w:left="714" w:hanging="357"/>
    </w:pPr>
    <w:rPr>
      <w:rFonts w:ascii="Arial" w:hAnsi="Arial" w:cs="Arial"/>
      <w:sz w:val="22"/>
    </w:rPr>
  </w:style>
  <w:style w:type="paragraph" w:customStyle="1" w:styleId="PSC-Bullets3">
    <w:name w:val="PSC - Bullets #3"/>
    <w:basedOn w:val="ListParagraph"/>
    <w:qFormat/>
    <w:rsid w:val="004C5B2E"/>
    <w:pPr>
      <w:numPr>
        <w:numId w:val="3"/>
      </w:numPr>
    </w:pPr>
    <w:rPr>
      <w:rFonts w:ascii="Arial" w:hAnsi="Arial" w:cs="Arial"/>
      <w:sz w:val="22"/>
    </w:rPr>
  </w:style>
  <w:style w:type="paragraph" w:customStyle="1" w:styleId="PSC-Primaryquote">
    <w:name w:val="PSC - Primary quote"/>
    <w:basedOn w:val="Normal"/>
    <w:qFormat/>
    <w:rsid w:val="00875901"/>
    <w:pPr>
      <w:pBdr>
        <w:top w:val="single" w:sz="12" w:space="5" w:color="007A6D"/>
        <w:bottom w:val="single" w:sz="12" w:space="5" w:color="007A6D"/>
      </w:pBdr>
      <w:spacing w:before="120" w:after="120"/>
    </w:pPr>
    <w:rPr>
      <w:rFonts w:ascii="Times New Roman" w:hAnsi="Times New Roman" w:cs="Arial"/>
      <w:b/>
      <w:bCs/>
      <w:i/>
      <w:iCs/>
      <w:color w:val="007A6D"/>
      <w:sz w:val="28"/>
      <w:szCs w:val="32"/>
    </w:rPr>
  </w:style>
  <w:style w:type="table" w:styleId="GridTable4-Accent1">
    <w:name w:val="Grid Table 4 Accent 1"/>
    <w:aliases w:val="PSC Table Template V0-02"/>
    <w:basedOn w:val="TableNormal"/>
    <w:uiPriority w:val="49"/>
    <w:rsid w:val="00226CFE"/>
    <w:pPr>
      <w:jc w:val="center"/>
    </w:pPr>
    <w:rPr>
      <w:rFonts w:ascii="Arial" w:eastAsiaTheme="minorEastAsia" w:hAnsi="Arial"/>
      <w:sz w:val="22"/>
      <w:szCs w:val="21"/>
    </w:rPr>
    <w:tblPr>
      <w:tblStyleRowBandSize w:val="1"/>
      <w:tblStyleColBandSize w:val="1"/>
      <w:tblBorders>
        <w:top w:val="single" w:sz="4" w:space="0" w:color="CBE8E2"/>
        <w:bottom w:val="single" w:sz="4" w:space="0" w:color="CBE8E2"/>
        <w:insideH w:val="single" w:sz="4" w:space="0" w:color="CBE8E2"/>
        <w:insideV w:val="single" w:sz="4" w:space="0" w:color="CBE8E2"/>
      </w:tblBorders>
      <w:tblCellMar>
        <w:top w:w="113" w:type="dxa"/>
        <w:bottom w:w="113" w:type="dxa"/>
      </w:tblCellMar>
    </w:tblPr>
    <w:tcPr>
      <w:shd w:val="clear" w:color="auto" w:fill="auto"/>
    </w:tcPr>
    <w:tblStylePr w:type="firstRow">
      <w:rPr>
        <w:b/>
        <w:bCs/>
        <w:color w:val="000000" w:themeColor="text1"/>
      </w:rPr>
      <w:tblPr/>
      <w:tcPr>
        <w:shd w:val="clear" w:color="auto" w:fill="60C3AD"/>
      </w:tcPr>
    </w:tblStylePr>
    <w:tblStylePr w:type="lastRow">
      <w:rPr>
        <w:rFonts w:ascii="Arial" w:hAnsi="Arial"/>
        <w:b w:val="0"/>
        <w:bCs/>
        <w:color w:val="000000" w:themeColor="text1"/>
        <w:sz w:val="22"/>
      </w:rPr>
    </w:tblStylePr>
    <w:tblStylePr w:type="firstCol">
      <w:rPr>
        <w:rFonts w:ascii="Arial" w:hAnsi="Arial"/>
        <w:b w:val="0"/>
        <w:bCs/>
        <w:sz w:val="22"/>
      </w:rPr>
      <w:tblPr/>
      <w:tcPr>
        <w:tcBorders>
          <w:bottom w:val="nil"/>
        </w:tcBorders>
        <w:shd w:val="clear" w:color="auto" w:fill="auto"/>
      </w:tcPr>
    </w:tblStylePr>
    <w:tblStylePr w:type="lastCol">
      <w:rPr>
        <w:b/>
        <w:bCs/>
      </w:rPr>
    </w:tblStylePr>
    <w:tblStylePr w:type="band1Horz">
      <w:rPr>
        <w:rFonts w:ascii="Arial" w:hAnsi="Arial"/>
        <w:sz w:val="22"/>
      </w:rPr>
      <w:tblPr/>
      <w:tcPr>
        <w:shd w:val="clear" w:color="auto" w:fill="FFFFFF" w:themeFill="background1"/>
      </w:tcPr>
    </w:tblStylePr>
    <w:tblStylePr w:type="band2Horz">
      <w:rPr>
        <w:rFonts w:ascii="Arial" w:hAnsi="Arial"/>
        <w:sz w:val="22"/>
      </w:rPr>
    </w:tblStylePr>
  </w:style>
  <w:style w:type="paragraph" w:styleId="ListParagraph">
    <w:name w:val="List Paragraph"/>
    <w:basedOn w:val="Normal"/>
    <w:uiPriority w:val="34"/>
    <w:qFormat/>
    <w:rsid w:val="00875901"/>
    <w:pPr>
      <w:ind w:left="720"/>
      <w:contextualSpacing/>
    </w:pPr>
  </w:style>
  <w:style w:type="table" w:styleId="TableGrid">
    <w:name w:val="Table Grid"/>
    <w:basedOn w:val="TableNormal"/>
    <w:uiPriority w:val="39"/>
    <w:rsid w:val="0022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C-Secondaryquote">
    <w:name w:val="PSC - Secondary quote"/>
    <w:basedOn w:val="Normal"/>
    <w:qFormat/>
    <w:rsid w:val="002E0984"/>
    <w:pPr>
      <w:ind w:left="720"/>
    </w:pPr>
    <w:rPr>
      <w:rFonts w:ascii="Arial" w:hAnsi="Arial" w:cs="Arial"/>
      <w:i/>
      <w:iCs/>
      <w:color w:val="007A6D"/>
    </w:rPr>
  </w:style>
  <w:style w:type="table" w:styleId="GridTable6Colorful-Accent2">
    <w:name w:val="Grid Table 6 Colorful Accent 2"/>
    <w:basedOn w:val="TableNormal"/>
    <w:uiPriority w:val="51"/>
    <w:rsid w:val="00942EF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SCTableStyleV0-01">
    <w:name w:val="PSC Table Style V0-01"/>
    <w:basedOn w:val="TableNormal"/>
    <w:next w:val="TableGrid"/>
    <w:uiPriority w:val="39"/>
    <w:rsid w:val="00F02D7B"/>
    <w:rPr>
      <w:rFonts w:ascii="Arial" w:hAnsi="Arial"/>
      <w:sz w:val="20"/>
    </w:rPr>
    <w:tblPr>
      <w:tblBorders>
        <w:top w:val="single" w:sz="4" w:space="0" w:color="C0E5DE"/>
        <w:bottom w:val="single" w:sz="4" w:space="0" w:color="C0E5DE"/>
        <w:insideH w:val="single" w:sz="4" w:space="0" w:color="C0E5DE"/>
        <w:insideV w:val="single" w:sz="4" w:space="0" w:color="C0E5DE"/>
      </w:tblBorders>
    </w:tblPr>
    <w:tcPr>
      <w:tcMar>
        <w:top w:w="108" w:type="dxa"/>
        <w:bottom w:w="108" w:type="dxa"/>
      </w:tcMar>
    </w:tcPr>
    <w:tblStylePr w:type="firstRow">
      <w:rPr>
        <w:rFonts w:ascii="Arial" w:hAnsi="Arial"/>
        <w:b/>
        <w:sz w:val="20"/>
      </w:rPr>
      <w:tblPr/>
      <w:tcPr>
        <w:tcBorders>
          <w:top w:val="nil"/>
          <w:bottom w:val="single" w:sz="18" w:space="0" w:color="C0E5DE"/>
        </w:tcBorders>
      </w:tcPr>
    </w:tblStylePr>
  </w:style>
  <w:style w:type="character" w:styleId="Hyperlink">
    <w:name w:val="Hyperlink"/>
    <w:basedOn w:val="DefaultParagraphFont"/>
    <w:uiPriority w:val="99"/>
    <w:unhideWhenUsed/>
    <w:rsid w:val="00A06D12"/>
    <w:rPr>
      <w:color w:val="0563C1" w:themeColor="hyperlink"/>
      <w:u w:val="single"/>
    </w:rPr>
  </w:style>
  <w:style w:type="character" w:styleId="UnresolvedMention">
    <w:name w:val="Unresolved Mention"/>
    <w:basedOn w:val="DefaultParagraphFont"/>
    <w:uiPriority w:val="99"/>
    <w:semiHidden/>
    <w:unhideWhenUsed/>
    <w:rsid w:val="00A06D12"/>
    <w:rPr>
      <w:color w:val="605E5C"/>
      <w:shd w:val="clear" w:color="auto" w:fill="E1DFDD"/>
    </w:rPr>
  </w:style>
  <w:style w:type="paragraph" w:styleId="Revision">
    <w:name w:val="Revision"/>
    <w:hidden/>
    <w:uiPriority w:val="99"/>
    <w:semiHidden/>
    <w:rsid w:val="00C51E10"/>
  </w:style>
  <w:style w:type="character" w:styleId="CommentReference">
    <w:name w:val="annotation reference"/>
    <w:basedOn w:val="DefaultParagraphFont"/>
    <w:uiPriority w:val="99"/>
    <w:semiHidden/>
    <w:unhideWhenUsed/>
    <w:rsid w:val="00C51E10"/>
    <w:rPr>
      <w:sz w:val="16"/>
      <w:szCs w:val="16"/>
    </w:rPr>
  </w:style>
  <w:style w:type="paragraph" w:styleId="CommentText">
    <w:name w:val="annotation text"/>
    <w:basedOn w:val="Normal"/>
    <w:link w:val="CommentTextChar"/>
    <w:uiPriority w:val="99"/>
    <w:unhideWhenUsed/>
    <w:rsid w:val="00C51E10"/>
    <w:rPr>
      <w:sz w:val="20"/>
      <w:szCs w:val="20"/>
    </w:rPr>
  </w:style>
  <w:style w:type="character" w:customStyle="1" w:styleId="CommentTextChar">
    <w:name w:val="Comment Text Char"/>
    <w:basedOn w:val="DefaultParagraphFont"/>
    <w:link w:val="CommentText"/>
    <w:uiPriority w:val="99"/>
    <w:rsid w:val="00C51E10"/>
    <w:rPr>
      <w:sz w:val="20"/>
      <w:szCs w:val="20"/>
    </w:rPr>
  </w:style>
  <w:style w:type="paragraph" w:styleId="CommentSubject">
    <w:name w:val="annotation subject"/>
    <w:basedOn w:val="CommentText"/>
    <w:next w:val="CommentText"/>
    <w:link w:val="CommentSubjectChar"/>
    <w:uiPriority w:val="99"/>
    <w:semiHidden/>
    <w:unhideWhenUsed/>
    <w:rsid w:val="00C51E10"/>
    <w:rPr>
      <w:b/>
      <w:bCs/>
    </w:rPr>
  </w:style>
  <w:style w:type="character" w:customStyle="1" w:styleId="CommentSubjectChar">
    <w:name w:val="Comment Subject Char"/>
    <w:basedOn w:val="CommentTextChar"/>
    <w:link w:val="CommentSubject"/>
    <w:uiPriority w:val="99"/>
    <w:semiHidden/>
    <w:rsid w:val="00C51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oyeeplacement@psc.qld.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employment-policy-career-and-wellbeing/directives-policies-circulars-and-guidelines/supporting-employees-affected-by-workplace-change-directive-01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AppData\Roaming\Microsoft\Templates\PSC%20Standard%20A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16" ma:contentTypeDescription="Create a new document." ma:contentTypeScope="" ma:versionID="fa73a3b4399d3f9e9f0c78059f054935">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bb3ab9b3b63e3ff0be2161e6661cfb1"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42f71f86-2bc3-4eda-a5e7-ed52d7073a80">
      <Url xsi:nil="true"/>
      <Description xsi:nil="true"/>
    </Link>
    <lcf76f155ced4ddcb4097134ff3c332f xmlns="42f71f86-2bc3-4eda-a5e7-ed52d7073a80">
      <Terms xmlns="http://schemas.microsoft.com/office/infopath/2007/PartnerControls"/>
    </lcf76f155ced4ddcb4097134ff3c332f>
    <TaxCatchAll xmlns="fd5a31b8-7943-496c-9bf2-dda18d38b6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1E779-604F-427B-B221-47F159752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2B7DA-6C79-4C25-AD6F-B4CFD3F12D4D}">
  <ds:schemaRefs>
    <ds:schemaRef ds:uri="http://schemas.openxmlformats.org/officeDocument/2006/bibliography"/>
  </ds:schemaRefs>
</ds:datastoreItem>
</file>

<file path=customXml/itemProps3.xml><?xml version="1.0" encoding="utf-8"?>
<ds:datastoreItem xmlns:ds="http://schemas.openxmlformats.org/officeDocument/2006/customXml" ds:itemID="{F060A2E1-0087-40DA-BB5C-66B4130E4350}">
  <ds:schemaRefs>
    <ds:schemaRef ds:uri="http://schemas.microsoft.com/office/2006/metadata/properties"/>
    <ds:schemaRef ds:uri="http://schemas.microsoft.com/office/infopath/2007/PartnerControls"/>
    <ds:schemaRef ds:uri="42f71f86-2bc3-4eda-a5e7-ed52d7073a80"/>
    <ds:schemaRef ds:uri="fd5a31b8-7943-496c-9bf2-dda18d38b62a"/>
  </ds:schemaRefs>
</ds:datastoreItem>
</file>

<file path=customXml/itemProps4.xml><?xml version="1.0" encoding="utf-8"?>
<ds:datastoreItem xmlns:ds="http://schemas.openxmlformats.org/officeDocument/2006/customXml" ds:itemID="{84324470-4B3B-4B04-B532-570B6264D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 Standard A4 template.dotx</Template>
  <TotalTime>3</TotalTime>
  <Pages>3</Pages>
  <Words>915</Words>
  <Characters>5219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Title of document</vt:lpstr>
    </vt:vector>
  </TitlesOfParts>
  <Company>Public Service Commission | Queensland Government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change strategy implementation support guide</dc:title>
  <dc:subject>Workforce change strategy implementation support guide</dc:subject>
  <dc:creator>Public Service Commission | Queensland Government</dc:creator>
  <cp:keywords/>
  <dc:description/>
  <cp:lastModifiedBy>Ben Toussaint</cp:lastModifiedBy>
  <cp:revision>2</cp:revision>
  <dcterms:created xsi:type="dcterms:W3CDTF">2022-09-30T01:06:00Z</dcterms:created>
  <dcterms:modified xsi:type="dcterms:W3CDTF">2022-09-30T01:06:00Z</dcterms:modified>
  <cp:category>Workforce change strategy implementation support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MediaServiceImageTags">
    <vt:lpwstr/>
  </property>
</Properties>
</file>