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282F" w14:textId="77777777" w:rsidR="00384FEB" w:rsidRPr="006B4F6A" w:rsidRDefault="00384FEB" w:rsidP="00384FEB">
      <w:pPr>
        <w:pStyle w:val="QGEA"/>
      </w:pPr>
      <w:smartTag w:uri="urn:schemas-microsoft-com:office:smarttags" w:element="State">
        <w:r w:rsidRPr="006B4F6A">
          <w:t>Queensland</w:t>
        </w:r>
      </w:smartTag>
      <w:r w:rsidRPr="006B4F6A">
        <w:t xml:space="preserve"> Government </w:t>
      </w:r>
      <w:smartTag w:uri="urn:schemas-microsoft-com:office:smarttags" w:element="place">
        <w:smartTag w:uri="urn:schemas-microsoft-com:office:smarttags" w:element="City">
          <w:r w:rsidRPr="006B4F6A">
            <w:t>Enterprise</w:t>
          </w:r>
        </w:smartTag>
      </w:smartTag>
      <w:r w:rsidRPr="006B4F6A">
        <w:t xml:space="preserve"> Architecture</w:t>
      </w:r>
    </w:p>
    <w:p w14:paraId="7514571B" w14:textId="77777777" w:rsidR="00384FEB" w:rsidRDefault="00E4588C" w:rsidP="00384FEB">
      <w:pPr>
        <w:pStyle w:val="Titlepageheading"/>
        <w:pBdr>
          <w:bottom w:val="none" w:sz="0" w:space="0" w:color="auto"/>
        </w:pBdr>
        <w:spacing w:before="240"/>
      </w:pPr>
      <w:r>
        <w:t>QGEA implementation prioritisation technique guideline</w:t>
      </w:r>
    </w:p>
    <w:p w14:paraId="285EA451" w14:textId="77777777" w:rsidR="005E7B99" w:rsidRDefault="005E7B99" w:rsidP="006517B2">
      <w:pPr>
        <w:spacing w:before="360" w:after="240" w:line="264" w:lineRule="auto"/>
        <w:rPr>
          <w:rFonts w:cs="Arial"/>
          <w:color w:val="4D4D4D"/>
          <w:sz w:val="30"/>
          <w:szCs w:val="30"/>
        </w:rPr>
      </w:pPr>
    </w:p>
    <w:p w14:paraId="51D2747E" w14:textId="77777777" w:rsidR="00384FEB" w:rsidRDefault="00384FEB" w:rsidP="006517B2">
      <w:pPr>
        <w:spacing w:before="360" w:after="240" w:line="264" w:lineRule="auto"/>
        <w:rPr>
          <w:rFonts w:cs="Arial"/>
          <w:color w:val="4D4D4D"/>
          <w:sz w:val="30"/>
          <w:szCs w:val="30"/>
        </w:rPr>
      </w:pPr>
    </w:p>
    <w:p w14:paraId="11CBE10A" w14:textId="77777777" w:rsidR="00384FEB" w:rsidRDefault="00384FEB" w:rsidP="006517B2">
      <w:pPr>
        <w:spacing w:before="360" w:after="240" w:line="264" w:lineRule="auto"/>
        <w:rPr>
          <w:rFonts w:cs="Arial"/>
          <w:color w:val="4D4D4D"/>
          <w:sz w:val="30"/>
          <w:szCs w:val="30"/>
        </w:rPr>
      </w:pPr>
    </w:p>
    <w:p w14:paraId="5584F940" w14:textId="77777777" w:rsidR="00384FEB" w:rsidRDefault="003B1D7B" w:rsidP="00384FEB">
      <w:pPr>
        <w:pStyle w:val="TitlePageOptionalTextLine"/>
        <w:spacing w:before="180" w:after="60" w:line="264" w:lineRule="auto"/>
        <w:rPr>
          <w:color w:val="595959"/>
        </w:rPr>
      </w:pPr>
      <w:r>
        <w:rPr>
          <w:color w:val="336699"/>
        </w:rPr>
        <w:t>FINAL</w:t>
      </w:r>
    </w:p>
    <w:p w14:paraId="695AE410" w14:textId="77777777" w:rsidR="003E716D" w:rsidRPr="00384FEB" w:rsidRDefault="00E4588C" w:rsidP="00384FEB">
      <w:pPr>
        <w:spacing w:before="180" w:after="60" w:line="264" w:lineRule="auto"/>
        <w:rPr>
          <w:color w:val="336699"/>
          <w:sz w:val="30"/>
          <w:szCs w:val="24"/>
        </w:rPr>
      </w:pPr>
      <w:r>
        <w:rPr>
          <w:color w:val="336699"/>
          <w:sz w:val="30"/>
          <w:szCs w:val="24"/>
        </w:rPr>
        <w:t>April 2013</w:t>
      </w:r>
    </w:p>
    <w:p w14:paraId="5EEC3584" w14:textId="77777777" w:rsidR="00A049F6" w:rsidRPr="00384FEB" w:rsidRDefault="00B31E85" w:rsidP="00384FEB">
      <w:pPr>
        <w:spacing w:before="180" w:after="60" w:line="264" w:lineRule="auto"/>
        <w:rPr>
          <w:color w:val="336699"/>
          <w:sz w:val="30"/>
          <w:szCs w:val="24"/>
        </w:rPr>
      </w:pPr>
      <w:r>
        <w:rPr>
          <w:color w:val="336699"/>
          <w:sz w:val="30"/>
          <w:szCs w:val="24"/>
        </w:rPr>
        <w:t>v</w:t>
      </w:r>
      <w:r w:rsidR="00E4588C">
        <w:rPr>
          <w:color w:val="336699"/>
          <w:sz w:val="30"/>
          <w:szCs w:val="24"/>
        </w:rPr>
        <w:t>1.0.</w:t>
      </w:r>
      <w:r w:rsidR="00E13A04">
        <w:rPr>
          <w:color w:val="336699"/>
          <w:sz w:val="30"/>
          <w:szCs w:val="24"/>
        </w:rPr>
        <w:t>3</w:t>
      </w:r>
    </w:p>
    <w:p w14:paraId="26CE04E3" w14:textId="77777777" w:rsidR="00EF2086" w:rsidRPr="009142A2" w:rsidRDefault="00EF2086" w:rsidP="006517B2">
      <w:pPr>
        <w:spacing w:before="360" w:after="240" w:line="264" w:lineRule="auto"/>
      </w:pPr>
    </w:p>
    <w:p w14:paraId="489E3C93" w14:textId="47586941" w:rsidR="00EF2086" w:rsidRPr="00384FEB" w:rsidRDefault="00967B4B" w:rsidP="00384FEB">
      <w:pPr>
        <w:spacing w:before="180" w:after="60" w:line="264" w:lineRule="auto"/>
        <w:rPr>
          <w:color w:val="336699"/>
          <w:sz w:val="30"/>
          <w:szCs w:val="24"/>
        </w:rPr>
      </w:pPr>
      <w:r>
        <w:rPr>
          <w:color w:val="336699"/>
          <w:sz w:val="30"/>
          <w:szCs w:val="24"/>
        </w:rPr>
        <w:t>OFFICIAL</w:t>
      </w:r>
      <w:r w:rsidR="000A055C">
        <w:rPr>
          <w:color w:val="336699"/>
          <w:sz w:val="30"/>
          <w:szCs w:val="24"/>
        </w:rPr>
        <w:t xml:space="preserve"> - Public</w:t>
      </w:r>
    </w:p>
    <w:p w14:paraId="7986B182" w14:textId="77777777" w:rsidR="00506597" w:rsidRDefault="006936C8" w:rsidP="00766CCB">
      <w:r>
        <w:br w:type="page"/>
      </w:r>
    </w:p>
    <w:p w14:paraId="3F54CDD3" w14:textId="77777777" w:rsidR="00C40C29" w:rsidRPr="00831408" w:rsidRDefault="00C40C29" w:rsidP="00831408">
      <w:pPr>
        <w:pStyle w:val="Heading2nonumber"/>
      </w:pPr>
      <w:r w:rsidRPr="00831408">
        <w:lastRenderedPageBreak/>
        <w:t>Document details</w:t>
      </w:r>
    </w:p>
    <w:tbl>
      <w:tblPr>
        <w:tblW w:w="0" w:type="auto"/>
        <w:tblInd w:w="-84"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Look w:val="01E0" w:firstRow="1" w:lastRow="1" w:firstColumn="1" w:lastColumn="1" w:noHBand="0" w:noVBand="0"/>
      </w:tblPr>
      <w:tblGrid>
        <w:gridCol w:w="2684"/>
        <w:gridCol w:w="418"/>
        <w:gridCol w:w="1740"/>
        <w:gridCol w:w="349"/>
        <w:gridCol w:w="2437"/>
        <w:gridCol w:w="384"/>
        <w:gridCol w:w="1710"/>
      </w:tblGrid>
      <w:tr w:rsidR="006334ED" w:rsidRPr="00EE390B" w14:paraId="05D20E3E" w14:textId="77777777">
        <w:trPr>
          <w:cantSplit/>
        </w:trPr>
        <w:tc>
          <w:tcPr>
            <w:tcW w:w="2693" w:type="dxa"/>
            <w:tcBorders>
              <w:top w:val="nil"/>
              <w:left w:val="nil"/>
              <w:bottom w:val="single" w:sz="12" w:space="0" w:color="2E526B"/>
              <w:right w:val="nil"/>
            </w:tcBorders>
            <w:shd w:val="clear" w:color="auto" w:fill="auto"/>
            <w:tcMar>
              <w:top w:w="0" w:type="dxa"/>
              <w:left w:w="0" w:type="dxa"/>
              <w:bottom w:w="0" w:type="dxa"/>
              <w:right w:w="0" w:type="dxa"/>
            </w:tcMar>
          </w:tcPr>
          <w:p w14:paraId="3368EC66" w14:textId="77777777" w:rsidR="006334ED" w:rsidRPr="00EE390B" w:rsidRDefault="006334ED" w:rsidP="006517B2">
            <w:pPr>
              <w:pStyle w:val="TableText"/>
            </w:pPr>
          </w:p>
        </w:tc>
        <w:tc>
          <w:tcPr>
            <w:tcW w:w="7029" w:type="dxa"/>
            <w:gridSpan w:val="6"/>
            <w:tcBorders>
              <w:top w:val="nil"/>
              <w:left w:val="nil"/>
              <w:bottom w:val="single" w:sz="12" w:space="0" w:color="2E526B"/>
              <w:right w:val="nil"/>
            </w:tcBorders>
            <w:shd w:val="clear" w:color="auto" w:fill="auto"/>
            <w:tcMar>
              <w:top w:w="0" w:type="dxa"/>
              <w:left w:w="0" w:type="dxa"/>
              <w:bottom w:w="0" w:type="dxa"/>
              <w:right w:w="0" w:type="dxa"/>
            </w:tcMar>
          </w:tcPr>
          <w:p w14:paraId="5B41C93D" w14:textId="77777777" w:rsidR="006334ED" w:rsidRPr="00EE390B" w:rsidRDefault="006334ED" w:rsidP="006517B2">
            <w:pPr>
              <w:pStyle w:val="TableText"/>
            </w:pPr>
          </w:p>
        </w:tc>
      </w:tr>
      <w:tr w:rsidR="006334ED" w:rsidRPr="00EE390B" w14:paraId="6D564903" w14:textId="77777777">
        <w:trPr>
          <w:cantSplit/>
        </w:trPr>
        <w:tc>
          <w:tcPr>
            <w:tcW w:w="2693" w:type="dxa"/>
            <w:tcBorders>
              <w:top w:val="single" w:sz="12" w:space="0" w:color="2E526B"/>
              <w:left w:val="single" w:sz="2" w:space="0" w:color="2E526B"/>
              <w:bottom w:val="single" w:sz="2" w:space="0" w:color="2E526B"/>
              <w:right w:val="single" w:sz="2" w:space="0" w:color="2E526B"/>
            </w:tcBorders>
            <w:shd w:val="clear" w:color="auto" w:fill="E6E6E6"/>
            <w:tcMar>
              <w:top w:w="28" w:type="dxa"/>
              <w:left w:w="85" w:type="dxa"/>
              <w:bottom w:w="28" w:type="dxa"/>
              <w:right w:w="85" w:type="dxa"/>
            </w:tcMar>
          </w:tcPr>
          <w:p w14:paraId="66791545" w14:textId="77777777" w:rsidR="006334ED" w:rsidRPr="007D23D6" w:rsidRDefault="006334ED" w:rsidP="006517B2">
            <w:pPr>
              <w:pStyle w:val="TableText"/>
            </w:pPr>
            <w:r w:rsidRPr="007D23D6">
              <w:t>Security classification</w:t>
            </w:r>
          </w:p>
        </w:tc>
        <w:tc>
          <w:tcPr>
            <w:tcW w:w="7029" w:type="dxa"/>
            <w:gridSpan w:val="6"/>
            <w:tcBorders>
              <w:top w:val="single" w:sz="12" w:space="0" w:color="2E526B"/>
              <w:left w:val="single" w:sz="2" w:space="0" w:color="2E526B"/>
              <w:bottom w:val="single" w:sz="2" w:space="0" w:color="2E526B"/>
              <w:right w:val="single" w:sz="2" w:space="0" w:color="2E526B"/>
            </w:tcBorders>
            <w:shd w:val="clear" w:color="auto" w:fill="auto"/>
            <w:tcMar>
              <w:top w:w="28" w:type="dxa"/>
              <w:left w:w="85" w:type="dxa"/>
              <w:bottom w:w="28" w:type="dxa"/>
              <w:right w:w="85" w:type="dxa"/>
            </w:tcMar>
            <w:vAlign w:val="center"/>
          </w:tcPr>
          <w:p w14:paraId="4E31F379" w14:textId="07FE3F21" w:rsidR="006334ED" w:rsidRPr="006D5D95" w:rsidRDefault="00892A02" w:rsidP="006517B2">
            <w:pPr>
              <w:pStyle w:val="TableText"/>
            </w:pPr>
            <w:r>
              <w:t xml:space="preserve">OFFICIAL </w:t>
            </w:r>
            <w:r w:rsidR="000A055C">
              <w:t>- Public</w:t>
            </w:r>
          </w:p>
        </w:tc>
      </w:tr>
      <w:tr w:rsidR="006334ED" w14:paraId="0CF0CA4A" w14:textId="77777777">
        <w:trPr>
          <w:cantSplit/>
        </w:trPr>
        <w:tc>
          <w:tcPr>
            <w:tcW w:w="2693" w:type="dxa"/>
            <w:tcBorders>
              <w:top w:val="single" w:sz="2" w:space="0" w:color="2E526B"/>
              <w:left w:val="single" w:sz="2" w:space="0" w:color="2E526B"/>
              <w:bottom w:val="single" w:sz="2" w:space="0" w:color="2E526B"/>
              <w:right w:val="single" w:sz="2" w:space="0" w:color="2E526B"/>
            </w:tcBorders>
            <w:shd w:val="clear" w:color="auto" w:fill="E6E6E6"/>
            <w:tcMar>
              <w:top w:w="28" w:type="dxa"/>
              <w:left w:w="85" w:type="dxa"/>
              <w:bottom w:w="28" w:type="dxa"/>
              <w:right w:w="85" w:type="dxa"/>
            </w:tcMar>
          </w:tcPr>
          <w:p w14:paraId="223BF30D" w14:textId="77777777" w:rsidR="006334ED" w:rsidRPr="007D23D6" w:rsidRDefault="006334ED" w:rsidP="006517B2">
            <w:pPr>
              <w:pStyle w:val="TableText"/>
            </w:pPr>
            <w:r w:rsidRPr="007D23D6">
              <w:t>Date of review of security classification</w:t>
            </w:r>
          </w:p>
        </w:tc>
        <w:tc>
          <w:tcPr>
            <w:tcW w:w="7029" w:type="dxa"/>
            <w:gridSpan w:val="6"/>
            <w:tcBorders>
              <w:top w:val="single" w:sz="2" w:space="0" w:color="2E526B"/>
              <w:left w:val="single" w:sz="2" w:space="0" w:color="2E526B"/>
              <w:bottom w:val="single" w:sz="2" w:space="0" w:color="2E526B"/>
              <w:right w:val="single" w:sz="2" w:space="0" w:color="2E526B"/>
            </w:tcBorders>
            <w:shd w:val="clear" w:color="auto" w:fill="auto"/>
            <w:tcMar>
              <w:top w:w="28" w:type="dxa"/>
              <w:left w:w="85" w:type="dxa"/>
              <w:bottom w:w="28" w:type="dxa"/>
              <w:right w:w="85" w:type="dxa"/>
            </w:tcMar>
            <w:vAlign w:val="center"/>
          </w:tcPr>
          <w:p w14:paraId="70E7F00B" w14:textId="77777777" w:rsidR="006334ED" w:rsidRPr="000D5487" w:rsidRDefault="00B31E85" w:rsidP="006517B2">
            <w:pPr>
              <w:pStyle w:val="TableText"/>
            </w:pPr>
            <w:r>
              <w:t>April 2013</w:t>
            </w:r>
          </w:p>
        </w:tc>
      </w:tr>
      <w:tr w:rsidR="006334ED" w14:paraId="21DC725C" w14:textId="77777777">
        <w:trPr>
          <w:cantSplit/>
        </w:trPr>
        <w:tc>
          <w:tcPr>
            <w:tcW w:w="2693" w:type="dxa"/>
            <w:tcBorders>
              <w:top w:val="single" w:sz="2" w:space="0" w:color="2E526B"/>
              <w:left w:val="single" w:sz="2" w:space="0" w:color="2E526B"/>
              <w:bottom w:val="single" w:sz="2" w:space="0" w:color="2E526B"/>
              <w:right w:val="single" w:sz="2" w:space="0" w:color="2E526B"/>
            </w:tcBorders>
            <w:shd w:val="clear" w:color="auto" w:fill="E6E6E6"/>
            <w:tcMar>
              <w:top w:w="28" w:type="dxa"/>
              <w:left w:w="85" w:type="dxa"/>
              <w:bottom w:w="28" w:type="dxa"/>
              <w:right w:w="85" w:type="dxa"/>
            </w:tcMar>
          </w:tcPr>
          <w:p w14:paraId="0C8D28C4" w14:textId="77777777" w:rsidR="006334ED" w:rsidRPr="007D23D6" w:rsidRDefault="006334ED" w:rsidP="006517B2">
            <w:pPr>
              <w:pStyle w:val="TableText"/>
            </w:pPr>
            <w:r w:rsidRPr="007D23D6">
              <w:t>Authority</w:t>
            </w:r>
          </w:p>
        </w:tc>
        <w:tc>
          <w:tcPr>
            <w:tcW w:w="7029" w:type="dxa"/>
            <w:gridSpan w:val="6"/>
            <w:tcBorders>
              <w:top w:val="single" w:sz="2" w:space="0" w:color="2E526B"/>
              <w:left w:val="single" w:sz="2" w:space="0" w:color="2E526B"/>
              <w:bottom w:val="single" w:sz="2" w:space="0" w:color="2E526B"/>
              <w:right w:val="single" w:sz="2" w:space="0" w:color="2E526B"/>
            </w:tcBorders>
            <w:shd w:val="clear" w:color="auto" w:fill="auto"/>
            <w:tcMar>
              <w:top w:w="28" w:type="dxa"/>
              <w:left w:w="85" w:type="dxa"/>
              <w:bottom w:w="28" w:type="dxa"/>
              <w:right w:w="85" w:type="dxa"/>
            </w:tcMar>
            <w:vAlign w:val="center"/>
          </w:tcPr>
          <w:p w14:paraId="1E619D4E" w14:textId="77777777" w:rsidR="006334ED" w:rsidRPr="006D5D95" w:rsidRDefault="006334ED" w:rsidP="006517B2">
            <w:pPr>
              <w:pStyle w:val="TableText"/>
            </w:pPr>
            <w:r w:rsidRPr="008B293E">
              <w:t>Queensland Government Chief Information Office</w:t>
            </w:r>
            <w:r>
              <w:t>r</w:t>
            </w:r>
          </w:p>
        </w:tc>
      </w:tr>
      <w:tr w:rsidR="006334ED" w14:paraId="17FD0AAC" w14:textId="77777777">
        <w:trPr>
          <w:cantSplit/>
        </w:trPr>
        <w:tc>
          <w:tcPr>
            <w:tcW w:w="2693" w:type="dxa"/>
            <w:tcBorders>
              <w:top w:val="single" w:sz="2" w:space="0" w:color="2E526B"/>
              <w:left w:val="single" w:sz="2" w:space="0" w:color="2E526B"/>
              <w:bottom w:val="single" w:sz="2" w:space="0" w:color="2E526B"/>
              <w:right w:val="single" w:sz="2" w:space="0" w:color="2E526B"/>
            </w:tcBorders>
            <w:shd w:val="clear" w:color="auto" w:fill="E6E6E6"/>
            <w:tcMar>
              <w:top w:w="28" w:type="dxa"/>
              <w:left w:w="85" w:type="dxa"/>
              <w:bottom w:w="28" w:type="dxa"/>
              <w:right w:w="85" w:type="dxa"/>
            </w:tcMar>
          </w:tcPr>
          <w:p w14:paraId="211BEFAB" w14:textId="77777777" w:rsidR="006334ED" w:rsidRPr="007D23D6" w:rsidRDefault="006334ED" w:rsidP="006517B2">
            <w:pPr>
              <w:pStyle w:val="TableText"/>
            </w:pPr>
            <w:r w:rsidRPr="007D23D6">
              <w:t>Author</w:t>
            </w:r>
          </w:p>
        </w:tc>
        <w:tc>
          <w:tcPr>
            <w:tcW w:w="7029" w:type="dxa"/>
            <w:gridSpan w:val="6"/>
            <w:tcBorders>
              <w:top w:val="single" w:sz="2" w:space="0" w:color="2E526B"/>
              <w:left w:val="single" w:sz="2" w:space="0" w:color="2E526B"/>
              <w:bottom w:val="single" w:sz="2" w:space="0" w:color="2E526B"/>
              <w:right w:val="single" w:sz="2" w:space="0" w:color="2E526B"/>
            </w:tcBorders>
            <w:shd w:val="clear" w:color="auto" w:fill="auto"/>
            <w:tcMar>
              <w:top w:w="28" w:type="dxa"/>
              <w:left w:w="85" w:type="dxa"/>
              <w:bottom w:w="28" w:type="dxa"/>
              <w:right w:w="85" w:type="dxa"/>
            </w:tcMar>
            <w:vAlign w:val="center"/>
          </w:tcPr>
          <w:p w14:paraId="47C62818" w14:textId="77777777" w:rsidR="006334ED" w:rsidRPr="006D5D95" w:rsidRDefault="00505A43" w:rsidP="006517B2">
            <w:pPr>
              <w:pStyle w:val="TableText"/>
            </w:pPr>
            <w:r>
              <w:t>Queensland Government Chief Information Office</w:t>
            </w:r>
          </w:p>
        </w:tc>
      </w:tr>
      <w:tr w:rsidR="006334ED" w:rsidRPr="00EE390B" w14:paraId="60E19F4B" w14:textId="77777777">
        <w:trPr>
          <w:cantSplit/>
        </w:trPr>
        <w:tc>
          <w:tcPr>
            <w:tcW w:w="2693" w:type="dxa"/>
            <w:tcBorders>
              <w:top w:val="single" w:sz="2" w:space="0" w:color="2E526B"/>
              <w:left w:val="single" w:sz="2" w:space="0" w:color="2E526B"/>
              <w:bottom w:val="single" w:sz="12" w:space="0" w:color="2E526B"/>
              <w:right w:val="single" w:sz="2" w:space="0" w:color="2E526B"/>
            </w:tcBorders>
            <w:shd w:val="clear" w:color="auto" w:fill="E6E6E6"/>
            <w:tcMar>
              <w:top w:w="28" w:type="dxa"/>
              <w:left w:w="85" w:type="dxa"/>
              <w:bottom w:w="28" w:type="dxa"/>
              <w:right w:w="85" w:type="dxa"/>
            </w:tcMar>
          </w:tcPr>
          <w:p w14:paraId="618F15D0" w14:textId="77777777" w:rsidR="006334ED" w:rsidRPr="007D23D6" w:rsidRDefault="006334ED" w:rsidP="006517B2">
            <w:pPr>
              <w:pStyle w:val="TableText"/>
            </w:pPr>
            <w:r w:rsidRPr="007D23D6">
              <w:t>Documentation status</w:t>
            </w:r>
          </w:p>
        </w:tc>
        <w:tc>
          <w:tcPr>
            <w:tcW w:w="420" w:type="dxa"/>
            <w:tcBorders>
              <w:top w:val="single" w:sz="2" w:space="0" w:color="2E526B"/>
              <w:left w:val="single" w:sz="2" w:space="0" w:color="2E526B"/>
              <w:bottom w:val="single" w:sz="12" w:space="0" w:color="2E526B"/>
              <w:right w:val="nil"/>
            </w:tcBorders>
            <w:shd w:val="clear" w:color="auto" w:fill="auto"/>
            <w:tcMar>
              <w:top w:w="28" w:type="dxa"/>
              <w:left w:w="85" w:type="dxa"/>
              <w:bottom w:w="28" w:type="dxa"/>
              <w:right w:w="85" w:type="dxa"/>
            </w:tcMar>
            <w:vAlign w:val="center"/>
          </w:tcPr>
          <w:p w14:paraId="4944C8A5" w14:textId="77777777" w:rsidR="006334ED" w:rsidRPr="006517B2" w:rsidRDefault="006334ED" w:rsidP="006517B2">
            <w:pPr>
              <w:pStyle w:val="TableText"/>
              <w:rPr>
                <w:sz w:val="24"/>
                <w:szCs w:val="24"/>
              </w:rPr>
            </w:pPr>
          </w:p>
        </w:tc>
        <w:tc>
          <w:tcPr>
            <w:tcW w:w="1746" w:type="dxa"/>
            <w:tcBorders>
              <w:top w:val="single" w:sz="2" w:space="0" w:color="2E526B"/>
              <w:left w:val="nil"/>
              <w:bottom w:val="single" w:sz="12" w:space="0" w:color="2E526B"/>
              <w:right w:val="single" w:sz="2" w:space="0" w:color="2E526B"/>
            </w:tcBorders>
            <w:shd w:val="clear" w:color="auto" w:fill="auto"/>
            <w:tcMar>
              <w:top w:w="28" w:type="dxa"/>
              <w:left w:w="85" w:type="dxa"/>
              <w:bottom w:w="28" w:type="dxa"/>
              <w:right w:w="85" w:type="dxa"/>
            </w:tcMar>
            <w:vAlign w:val="center"/>
          </w:tcPr>
          <w:p w14:paraId="6ED233FC" w14:textId="77777777" w:rsidR="006334ED" w:rsidRPr="00F30414" w:rsidRDefault="006334ED" w:rsidP="006517B2">
            <w:pPr>
              <w:pStyle w:val="TableText"/>
            </w:pPr>
            <w:r w:rsidRPr="00F30414">
              <w:t xml:space="preserve">Working </w:t>
            </w:r>
            <w:r>
              <w:t>d</w:t>
            </w:r>
            <w:r w:rsidRPr="00F30414">
              <w:t>raft</w:t>
            </w:r>
          </w:p>
        </w:tc>
        <w:tc>
          <w:tcPr>
            <w:tcW w:w="350" w:type="dxa"/>
            <w:tcBorders>
              <w:top w:val="single" w:sz="2" w:space="0" w:color="2E526B"/>
              <w:left w:val="single" w:sz="2" w:space="0" w:color="2E526B"/>
              <w:bottom w:val="single" w:sz="12" w:space="0" w:color="2E526B"/>
              <w:right w:val="nil"/>
            </w:tcBorders>
            <w:shd w:val="clear" w:color="auto" w:fill="auto"/>
            <w:tcMar>
              <w:top w:w="28" w:type="dxa"/>
              <w:left w:w="85" w:type="dxa"/>
              <w:bottom w:w="28" w:type="dxa"/>
              <w:right w:w="85" w:type="dxa"/>
            </w:tcMar>
            <w:vAlign w:val="center"/>
          </w:tcPr>
          <w:p w14:paraId="112146C8" w14:textId="77777777" w:rsidR="006334ED" w:rsidRPr="00EE390B" w:rsidRDefault="006334ED" w:rsidP="006517B2">
            <w:pPr>
              <w:pStyle w:val="TableText"/>
            </w:pPr>
          </w:p>
        </w:tc>
        <w:tc>
          <w:tcPr>
            <w:tcW w:w="2446" w:type="dxa"/>
            <w:tcBorders>
              <w:top w:val="single" w:sz="2" w:space="0" w:color="2E526B"/>
              <w:left w:val="nil"/>
              <w:bottom w:val="single" w:sz="12" w:space="0" w:color="2E526B"/>
              <w:right w:val="single" w:sz="2" w:space="0" w:color="2E526B"/>
            </w:tcBorders>
            <w:shd w:val="clear" w:color="auto" w:fill="auto"/>
            <w:tcMar>
              <w:top w:w="28" w:type="dxa"/>
              <w:left w:w="85" w:type="dxa"/>
              <w:bottom w:w="28" w:type="dxa"/>
              <w:right w:w="85" w:type="dxa"/>
            </w:tcMar>
            <w:vAlign w:val="center"/>
          </w:tcPr>
          <w:p w14:paraId="44A5206D" w14:textId="77777777" w:rsidR="006334ED" w:rsidRPr="00EE390B" w:rsidRDefault="006334ED" w:rsidP="006517B2">
            <w:pPr>
              <w:pStyle w:val="TableText"/>
            </w:pPr>
            <w:r w:rsidRPr="00EE390B">
              <w:t>Consultation release</w:t>
            </w:r>
          </w:p>
        </w:tc>
        <w:tc>
          <w:tcPr>
            <w:tcW w:w="350" w:type="dxa"/>
            <w:tcBorders>
              <w:top w:val="single" w:sz="2" w:space="0" w:color="2E526B"/>
              <w:left w:val="single" w:sz="2" w:space="0" w:color="2E526B"/>
              <w:bottom w:val="single" w:sz="12" w:space="0" w:color="2E526B"/>
              <w:right w:val="nil"/>
            </w:tcBorders>
            <w:shd w:val="clear" w:color="auto" w:fill="auto"/>
            <w:tcMar>
              <w:top w:w="28" w:type="dxa"/>
              <w:left w:w="85" w:type="dxa"/>
              <w:bottom w:w="28" w:type="dxa"/>
              <w:right w:w="85" w:type="dxa"/>
            </w:tcMar>
            <w:vAlign w:val="center"/>
          </w:tcPr>
          <w:p w14:paraId="0DD9D12A" w14:textId="77777777" w:rsidR="006334ED" w:rsidRPr="00EE390B" w:rsidRDefault="00084719" w:rsidP="006517B2">
            <w:pPr>
              <w:pStyle w:val="TableText"/>
            </w:pPr>
            <w:r w:rsidRPr="006517B2">
              <w:rPr>
                <w:sz w:val="24"/>
                <w:szCs w:val="24"/>
              </w:rPr>
              <w:sym w:font="Wingdings" w:char="F0FE"/>
            </w:r>
          </w:p>
        </w:tc>
        <w:tc>
          <w:tcPr>
            <w:tcW w:w="1717" w:type="dxa"/>
            <w:tcBorders>
              <w:top w:val="single" w:sz="2" w:space="0" w:color="2E526B"/>
              <w:left w:val="nil"/>
              <w:bottom w:val="single" w:sz="12" w:space="0" w:color="2E526B"/>
              <w:right w:val="single" w:sz="2" w:space="0" w:color="2E526B"/>
            </w:tcBorders>
            <w:shd w:val="clear" w:color="auto" w:fill="auto"/>
            <w:tcMar>
              <w:top w:w="28" w:type="dxa"/>
              <w:left w:w="85" w:type="dxa"/>
              <w:bottom w:w="28" w:type="dxa"/>
              <w:right w:w="85" w:type="dxa"/>
            </w:tcMar>
            <w:vAlign w:val="center"/>
          </w:tcPr>
          <w:p w14:paraId="7839EA62" w14:textId="77777777" w:rsidR="006334ED" w:rsidRDefault="006334ED" w:rsidP="006517B2">
            <w:pPr>
              <w:pStyle w:val="TableText"/>
            </w:pPr>
            <w:r w:rsidRPr="00EE390B">
              <w:t>Final version</w:t>
            </w:r>
          </w:p>
        </w:tc>
      </w:tr>
    </w:tbl>
    <w:p w14:paraId="4AA8FD73" w14:textId="77777777" w:rsidR="00C40C29" w:rsidRPr="00831408" w:rsidRDefault="00C40C29" w:rsidP="00831408">
      <w:pPr>
        <w:pStyle w:val="Heading2nonumber"/>
      </w:pPr>
      <w:r w:rsidRPr="00831408">
        <w:t>Contact for enquiries and proposed changes</w:t>
      </w:r>
    </w:p>
    <w:p w14:paraId="5010129F" w14:textId="77777777" w:rsidR="00C40C29" w:rsidRPr="00C40C29" w:rsidRDefault="00C40C29" w:rsidP="006517B2">
      <w:pPr>
        <w:pStyle w:val="Bodystylefordocumentdetails"/>
      </w:pPr>
      <w:r w:rsidRPr="00C40C29">
        <w:t>All enquiries regarding this document should be directed in the first instance to:</w:t>
      </w:r>
    </w:p>
    <w:p w14:paraId="13A7428B" w14:textId="77777777" w:rsidR="007861C3" w:rsidRDefault="006952E2" w:rsidP="006517B2">
      <w:pPr>
        <w:pStyle w:val="Bodystylefordocumentdetails"/>
      </w:pPr>
      <w:r w:rsidRPr="006952E2">
        <w:t>Queensland Government Chief Information Office</w:t>
      </w:r>
      <w:r w:rsidR="007861C3" w:rsidRPr="008B293E">
        <w:rPr>
          <w:highlight w:val="yellow"/>
        </w:rPr>
        <w:br/>
      </w:r>
      <w:hyperlink r:id="rId7" w:history="1">
        <w:r w:rsidRPr="00685C0F">
          <w:rPr>
            <w:rStyle w:val="Hyperlink"/>
          </w:rPr>
          <w:t>qgcio@qld.gov.au</w:t>
        </w:r>
      </w:hyperlink>
    </w:p>
    <w:p w14:paraId="12B08DBD" w14:textId="77777777" w:rsidR="00BB2720" w:rsidRPr="00831408" w:rsidRDefault="00BB2720" w:rsidP="00831408">
      <w:pPr>
        <w:pStyle w:val="Heading2nonumber"/>
      </w:pPr>
      <w:r w:rsidRPr="00831408">
        <w:t>Acknowledgements</w:t>
      </w:r>
      <w:bookmarkStart w:id="0" w:name="_GoBack"/>
      <w:bookmarkEnd w:id="0"/>
    </w:p>
    <w:p w14:paraId="1A3A4AD4" w14:textId="77777777" w:rsidR="00F860E2" w:rsidRPr="00C40C29" w:rsidRDefault="00F860E2" w:rsidP="00F860E2">
      <w:pPr>
        <w:pStyle w:val="Bodystylefordocumentdetails"/>
      </w:pPr>
      <w:r w:rsidRPr="00C40C29">
        <w:t xml:space="preserve">This version of </w:t>
      </w:r>
      <w:r w:rsidR="00B618DC">
        <w:t xml:space="preserve">the </w:t>
      </w:r>
      <w:r w:rsidR="00EF0F3F">
        <w:rPr>
          <w:i/>
        </w:rPr>
        <w:t>QGEA implementation prioritisation technique guideline</w:t>
      </w:r>
      <w:r>
        <w:rPr>
          <w:i/>
        </w:rPr>
        <w:t xml:space="preserve"> </w:t>
      </w:r>
      <w:r w:rsidRPr="00C40C29">
        <w:t xml:space="preserve">was developed and updated by </w:t>
      </w:r>
      <w:r>
        <w:t>the Queensland Government Chief Information Office.</w:t>
      </w:r>
    </w:p>
    <w:p w14:paraId="49555F36" w14:textId="77777777" w:rsidR="00F860E2" w:rsidRPr="00C40C29" w:rsidRDefault="00F860E2" w:rsidP="00F860E2">
      <w:pPr>
        <w:pStyle w:val="Bodystylefordocumentdetails"/>
      </w:pPr>
      <w:r>
        <w:t>F</w:t>
      </w:r>
      <w:r w:rsidRPr="00C40C29">
        <w:t>eedback was</w:t>
      </w:r>
      <w:r>
        <w:t xml:space="preserve"> also</w:t>
      </w:r>
      <w:r w:rsidRPr="00C40C29">
        <w:t xml:space="preserve"> received from a number of staff from various </w:t>
      </w:r>
      <w:r>
        <w:t>departments</w:t>
      </w:r>
      <w:r w:rsidRPr="00C40C29">
        <w:t>, which was greatly appreciated.</w:t>
      </w:r>
    </w:p>
    <w:p w14:paraId="6B327D4C" w14:textId="77777777" w:rsidR="00C40C29" w:rsidRPr="00831408" w:rsidRDefault="00C40C29" w:rsidP="00831408">
      <w:pPr>
        <w:pStyle w:val="Heading2nonumber"/>
      </w:pPr>
      <w:r w:rsidRPr="00831408">
        <w:t>Copyright</w:t>
      </w:r>
    </w:p>
    <w:p w14:paraId="0AFDAEEB" w14:textId="77777777" w:rsidR="00EF0F3F" w:rsidRDefault="00EF0F3F" w:rsidP="006517B2">
      <w:pPr>
        <w:pStyle w:val="Bodystylefordocumentdetails"/>
        <w:rPr>
          <w:i/>
        </w:rPr>
      </w:pPr>
      <w:r>
        <w:rPr>
          <w:i/>
        </w:rPr>
        <w:t xml:space="preserve">QGEA implementation prioritisation technique guideline </w:t>
      </w:r>
    </w:p>
    <w:p w14:paraId="412C2CD6" w14:textId="157DF8C0" w:rsidR="00C40C29" w:rsidRDefault="00C40C29" w:rsidP="006517B2">
      <w:pPr>
        <w:pStyle w:val="Bodystylefordocumentdetails"/>
      </w:pPr>
      <w:r w:rsidRPr="00FB5186">
        <w:t xml:space="preserve">Copyright © The State of </w:t>
      </w:r>
      <w:smartTag w:uri="urn:schemas-microsoft-com:office:smarttags" w:element="place">
        <w:smartTag w:uri="urn:schemas-microsoft-com:office:smarttags" w:element="State">
          <w:r w:rsidRPr="00FB5186">
            <w:t>Queensland</w:t>
          </w:r>
        </w:smartTag>
      </w:smartTag>
      <w:r w:rsidRPr="00FB5186">
        <w:t xml:space="preserve"> (</w:t>
      </w:r>
      <w:r w:rsidR="00754C94">
        <w:t>Queensland Government Chief Information Office</w:t>
      </w:r>
      <w:r w:rsidRPr="00FB5186">
        <w:t>)</w:t>
      </w:r>
      <w:r w:rsidR="00013A6E">
        <w:t xml:space="preserve"> </w:t>
      </w:r>
      <w:r w:rsidR="00FC066D">
        <w:t>20</w:t>
      </w:r>
      <w:r w:rsidR="00754C94">
        <w:t>1</w:t>
      </w:r>
      <w:r w:rsidR="00F826D2">
        <w:t>3</w:t>
      </w:r>
    </w:p>
    <w:p w14:paraId="0A330333" w14:textId="55B507FB" w:rsidR="00BC2471" w:rsidRPr="00831408" w:rsidRDefault="00BC2471" w:rsidP="00BC2471">
      <w:pPr>
        <w:pStyle w:val="Heading2nonumber"/>
      </w:pPr>
      <w:r>
        <w:t>Licence</w:t>
      </w:r>
    </w:p>
    <w:p w14:paraId="441E3059" w14:textId="162AD0CB" w:rsidR="00BC2471" w:rsidRDefault="00BC2471" w:rsidP="00BC2471">
      <w:pPr>
        <w:pStyle w:val="Bodystylefordocumentdetails"/>
      </w:pPr>
      <w:r>
        <w:rPr>
          <w:noProof/>
        </w:rPr>
        <w:drawing>
          <wp:inline distT="0" distB="0" distL="0" distR="0" wp14:anchorId="111740D0" wp14:editId="08F766AE">
            <wp:extent cx="914400" cy="274320"/>
            <wp:effectExtent l="0" t="0" r="0" b="0"/>
            <wp:docPr id="8" name="Picture 8" descr="裰矺㡰矵䒨矹絰矵診矵㚄ꡠͩ">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裰矺㡰矵䒨矹絰矵診矵㚄ꡠͩ"/>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t xml:space="preserve">     </w:t>
      </w:r>
    </w:p>
    <w:p w14:paraId="5531966E" w14:textId="77777777" w:rsidR="00BC2471" w:rsidRPr="001328B5" w:rsidRDefault="00BC2471" w:rsidP="00BC2471">
      <w:pPr>
        <w:pStyle w:val="Bodystylefordocumentdetails"/>
      </w:pPr>
      <w:r w:rsidRPr="007C0542">
        <w:rPr>
          <w:szCs w:val="22"/>
        </w:rPr>
        <w:t>This work</w:t>
      </w:r>
      <w:r w:rsidRPr="007C0542">
        <w:rPr>
          <w:rFonts w:cs="Arial"/>
          <w:szCs w:val="22"/>
        </w:rPr>
        <w:t xml:space="preserve"> </w:t>
      </w:r>
      <w:r w:rsidRPr="007C0542">
        <w:rPr>
          <w:szCs w:val="22"/>
        </w:rPr>
        <w:t>is</w:t>
      </w:r>
      <w:r w:rsidRPr="00750438">
        <w:rPr>
          <w:szCs w:val="22"/>
        </w:rPr>
        <w:t xml:space="preserve"> licensed under a Creative Commons Attribution </w:t>
      </w:r>
      <w:r>
        <w:rPr>
          <w:szCs w:val="22"/>
        </w:rPr>
        <w:t>4</w:t>
      </w:r>
      <w:r w:rsidRPr="00750438">
        <w:rPr>
          <w:szCs w:val="22"/>
        </w:rPr>
        <w:t xml:space="preserve">.0 </w:t>
      </w:r>
      <w:r>
        <w:rPr>
          <w:szCs w:val="22"/>
        </w:rPr>
        <w:t>International</w:t>
      </w:r>
      <w:r w:rsidRPr="00750438">
        <w:rPr>
          <w:szCs w:val="22"/>
        </w:rPr>
        <w:t xml:space="preserve"> licence. To view the terms of this licence, visit </w:t>
      </w:r>
      <w:hyperlink r:id="rId10" w:history="1">
        <w:r>
          <w:rPr>
            <w:rStyle w:val="Hyperlink"/>
            <w:szCs w:val="22"/>
          </w:rPr>
          <w:t>http://creativecommons.org/licenses/by/4.0/</w:t>
        </w:r>
      </w:hyperlink>
      <w:r w:rsidRPr="00750438">
        <w:rPr>
          <w:szCs w:val="22"/>
        </w:rPr>
        <w:t xml:space="preserve">. For permissions beyond the scope of this licence, contact </w:t>
      </w:r>
      <w:hyperlink r:id="rId11" w:history="1">
        <w:r w:rsidRPr="00540260">
          <w:rPr>
            <w:rStyle w:val="Hyperlink"/>
            <w:szCs w:val="22"/>
          </w:rPr>
          <w:t>qgcio@qgcio.qld.gov.au</w:t>
        </w:r>
      </w:hyperlink>
      <w:r w:rsidRPr="00750438">
        <w:rPr>
          <w:szCs w:val="22"/>
        </w:rPr>
        <w:t xml:space="preserve">. </w:t>
      </w:r>
    </w:p>
    <w:p w14:paraId="6A64DA77" w14:textId="77777777" w:rsidR="00BC2471" w:rsidRDefault="00BC2471" w:rsidP="00BC2471">
      <w:pPr>
        <w:pStyle w:val="BodyText"/>
        <w:ind w:left="0"/>
        <w:rPr>
          <w:szCs w:val="22"/>
        </w:rPr>
      </w:pPr>
      <w:r w:rsidRPr="00750438">
        <w:rPr>
          <w:szCs w:val="22"/>
        </w:rPr>
        <w:t xml:space="preserve">To attribute this material, cite the Queensland Government Chief Information Office. </w:t>
      </w:r>
    </w:p>
    <w:p w14:paraId="3A1E05A3" w14:textId="77777777" w:rsidR="00BC2471" w:rsidRDefault="00BC2471" w:rsidP="00BC2471">
      <w:pPr>
        <w:pStyle w:val="BodyText"/>
        <w:ind w:left="0"/>
        <w:rPr>
          <w:szCs w:val="22"/>
        </w:rPr>
      </w:pPr>
      <w:r w:rsidRPr="00DB5123">
        <w:rPr>
          <w:szCs w:val="22"/>
        </w:rPr>
        <w:t>The licence does not apply to any branding or images</w:t>
      </w:r>
      <w:r>
        <w:rPr>
          <w:szCs w:val="22"/>
        </w:rPr>
        <w:t xml:space="preserve">. </w:t>
      </w:r>
    </w:p>
    <w:p w14:paraId="56C0E1D0" w14:textId="77777777" w:rsidR="00527E24" w:rsidRPr="00831408" w:rsidRDefault="00527E24" w:rsidP="00831408">
      <w:pPr>
        <w:pStyle w:val="Heading2nonumber"/>
      </w:pPr>
      <w:r w:rsidRPr="00831408">
        <w:t>Information security</w:t>
      </w:r>
    </w:p>
    <w:p w14:paraId="40A3BAC2" w14:textId="353006A6"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892A02">
        <w:t>OFFICIAL</w:t>
      </w:r>
      <w:r w:rsidR="000A055C">
        <w:t>-Public</w:t>
      </w:r>
      <w:r w:rsidR="00892A02">
        <w:t xml:space="preserve"> </w:t>
      </w:r>
      <w:r w:rsidRPr="00C40C29">
        <w:t>and will be managed according to the requirements of the QGISCF.</w:t>
      </w:r>
    </w:p>
    <w:p w14:paraId="64408847" w14:textId="77777777" w:rsidR="00571312" w:rsidRPr="00831408" w:rsidRDefault="00DE6BBA" w:rsidP="005E7B99">
      <w:pPr>
        <w:pStyle w:val="Heading1nonumber"/>
        <w:pageBreakBefore/>
      </w:pPr>
      <w:r w:rsidRPr="00831408">
        <w:lastRenderedPageBreak/>
        <w:t>C</w:t>
      </w:r>
      <w:r w:rsidR="009D3F26" w:rsidRPr="00831408">
        <w:t>ontents</w:t>
      </w:r>
    </w:p>
    <w:p w14:paraId="1AB909E6" w14:textId="77777777" w:rsidR="00B31E85" w:rsidRPr="002A758F" w:rsidRDefault="00C314B4">
      <w:pPr>
        <w:pStyle w:val="TOC1"/>
        <w:rPr>
          <w:rFonts w:ascii="Calibri" w:hAnsi="Calibri"/>
          <w:b w:val="0"/>
          <w:snapToGrid/>
          <w:kern w:val="0"/>
          <w:szCs w:val="22"/>
        </w:rPr>
      </w:pPr>
      <w:r w:rsidRPr="00766CCB">
        <w:fldChar w:fldCharType="begin"/>
      </w:r>
      <w:r w:rsidRPr="00766CCB">
        <w:instrText xml:space="preserve"> TOC \o "1-1" \h \z \t "Heading 2,2" </w:instrText>
      </w:r>
      <w:r w:rsidRPr="00766CCB">
        <w:fldChar w:fldCharType="separate"/>
      </w:r>
      <w:hyperlink w:anchor="_Toc354571097" w:history="1">
        <w:r w:rsidR="00B31E85" w:rsidRPr="006D4916">
          <w:rPr>
            <w:rStyle w:val="Hyperlink"/>
          </w:rPr>
          <w:t>1</w:t>
        </w:r>
        <w:r w:rsidR="00B31E85" w:rsidRPr="002A758F">
          <w:rPr>
            <w:rFonts w:ascii="Calibri" w:hAnsi="Calibri"/>
            <w:b w:val="0"/>
            <w:snapToGrid/>
            <w:kern w:val="0"/>
            <w:szCs w:val="22"/>
          </w:rPr>
          <w:tab/>
        </w:r>
        <w:r w:rsidR="00B31E85" w:rsidRPr="006D4916">
          <w:rPr>
            <w:rStyle w:val="Hyperlink"/>
          </w:rPr>
          <w:t>Introduction</w:t>
        </w:r>
        <w:r w:rsidR="00B31E85">
          <w:rPr>
            <w:webHidden/>
          </w:rPr>
          <w:tab/>
        </w:r>
        <w:r w:rsidR="00B31E85">
          <w:rPr>
            <w:webHidden/>
          </w:rPr>
          <w:fldChar w:fldCharType="begin"/>
        </w:r>
        <w:r w:rsidR="00B31E85">
          <w:rPr>
            <w:webHidden/>
          </w:rPr>
          <w:instrText xml:space="preserve"> PAGEREF _Toc354571097 \h </w:instrText>
        </w:r>
        <w:r w:rsidR="00B31E85">
          <w:rPr>
            <w:webHidden/>
          </w:rPr>
        </w:r>
        <w:r w:rsidR="00B31E85">
          <w:rPr>
            <w:webHidden/>
          </w:rPr>
          <w:fldChar w:fldCharType="separate"/>
        </w:r>
        <w:r w:rsidR="00431477">
          <w:rPr>
            <w:webHidden/>
          </w:rPr>
          <w:t>4</w:t>
        </w:r>
        <w:r w:rsidR="00B31E85">
          <w:rPr>
            <w:webHidden/>
          </w:rPr>
          <w:fldChar w:fldCharType="end"/>
        </w:r>
      </w:hyperlink>
    </w:p>
    <w:p w14:paraId="47BD8AEE" w14:textId="77777777" w:rsidR="00B31E85" w:rsidRPr="002A758F" w:rsidRDefault="000A055C">
      <w:pPr>
        <w:pStyle w:val="TOC2"/>
        <w:rPr>
          <w:rFonts w:ascii="Calibri" w:hAnsi="Calibri"/>
          <w:snapToGrid/>
          <w:kern w:val="0"/>
          <w:szCs w:val="22"/>
          <w:lang w:eastAsia="en-AU"/>
        </w:rPr>
      </w:pPr>
      <w:hyperlink w:anchor="_Toc354571098" w:history="1">
        <w:r w:rsidR="00B31E85" w:rsidRPr="006D4916">
          <w:rPr>
            <w:rStyle w:val="Hyperlink"/>
          </w:rPr>
          <w:t>1.1</w:t>
        </w:r>
        <w:r w:rsidR="00B31E85" w:rsidRPr="002A758F">
          <w:rPr>
            <w:rFonts w:ascii="Calibri" w:hAnsi="Calibri"/>
            <w:snapToGrid/>
            <w:kern w:val="0"/>
            <w:szCs w:val="22"/>
            <w:lang w:eastAsia="en-AU"/>
          </w:rPr>
          <w:tab/>
        </w:r>
        <w:r w:rsidR="00B31E85" w:rsidRPr="006D4916">
          <w:rPr>
            <w:rStyle w:val="Hyperlink"/>
          </w:rPr>
          <w:t>Purpose</w:t>
        </w:r>
        <w:r w:rsidR="00B31E85">
          <w:rPr>
            <w:webHidden/>
          </w:rPr>
          <w:tab/>
        </w:r>
        <w:r w:rsidR="00B31E85">
          <w:rPr>
            <w:webHidden/>
          </w:rPr>
          <w:fldChar w:fldCharType="begin"/>
        </w:r>
        <w:r w:rsidR="00B31E85">
          <w:rPr>
            <w:webHidden/>
          </w:rPr>
          <w:instrText xml:space="preserve"> PAGEREF _Toc354571098 \h </w:instrText>
        </w:r>
        <w:r w:rsidR="00B31E85">
          <w:rPr>
            <w:webHidden/>
          </w:rPr>
        </w:r>
        <w:r w:rsidR="00B31E85">
          <w:rPr>
            <w:webHidden/>
          </w:rPr>
          <w:fldChar w:fldCharType="separate"/>
        </w:r>
        <w:r w:rsidR="00431477">
          <w:rPr>
            <w:webHidden/>
          </w:rPr>
          <w:t>4</w:t>
        </w:r>
        <w:r w:rsidR="00B31E85">
          <w:rPr>
            <w:webHidden/>
          </w:rPr>
          <w:fldChar w:fldCharType="end"/>
        </w:r>
      </w:hyperlink>
    </w:p>
    <w:p w14:paraId="4D87A626" w14:textId="77777777" w:rsidR="00B31E85" w:rsidRPr="002A758F" w:rsidRDefault="000A055C">
      <w:pPr>
        <w:pStyle w:val="TOC2"/>
        <w:rPr>
          <w:rFonts w:ascii="Calibri" w:hAnsi="Calibri"/>
          <w:snapToGrid/>
          <w:kern w:val="0"/>
          <w:szCs w:val="22"/>
          <w:lang w:eastAsia="en-AU"/>
        </w:rPr>
      </w:pPr>
      <w:hyperlink w:anchor="_Toc354571099" w:history="1">
        <w:r w:rsidR="00B31E85" w:rsidRPr="006D4916">
          <w:rPr>
            <w:rStyle w:val="Hyperlink"/>
          </w:rPr>
          <w:t>1.2</w:t>
        </w:r>
        <w:r w:rsidR="00B31E85" w:rsidRPr="002A758F">
          <w:rPr>
            <w:rFonts w:ascii="Calibri" w:hAnsi="Calibri"/>
            <w:snapToGrid/>
            <w:kern w:val="0"/>
            <w:szCs w:val="22"/>
            <w:lang w:eastAsia="en-AU"/>
          </w:rPr>
          <w:tab/>
        </w:r>
        <w:r w:rsidR="00B31E85" w:rsidRPr="006D4916">
          <w:rPr>
            <w:rStyle w:val="Hyperlink"/>
          </w:rPr>
          <w:t>Audience</w:t>
        </w:r>
        <w:r w:rsidR="00B31E85">
          <w:rPr>
            <w:webHidden/>
          </w:rPr>
          <w:tab/>
        </w:r>
        <w:r w:rsidR="00B31E85">
          <w:rPr>
            <w:webHidden/>
          </w:rPr>
          <w:fldChar w:fldCharType="begin"/>
        </w:r>
        <w:r w:rsidR="00B31E85">
          <w:rPr>
            <w:webHidden/>
          </w:rPr>
          <w:instrText xml:space="preserve"> PAGEREF _Toc354571099 \h </w:instrText>
        </w:r>
        <w:r w:rsidR="00B31E85">
          <w:rPr>
            <w:webHidden/>
          </w:rPr>
        </w:r>
        <w:r w:rsidR="00B31E85">
          <w:rPr>
            <w:webHidden/>
          </w:rPr>
          <w:fldChar w:fldCharType="separate"/>
        </w:r>
        <w:r w:rsidR="00431477">
          <w:rPr>
            <w:webHidden/>
          </w:rPr>
          <w:t>4</w:t>
        </w:r>
        <w:r w:rsidR="00B31E85">
          <w:rPr>
            <w:webHidden/>
          </w:rPr>
          <w:fldChar w:fldCharType="end"/>
        </w:r>
      </w:hyperlink>
    </w:p>
    <w:p w14:paraId="67FDE9E7" w14:textId="77777777" w:rsidR="00B31E85" w:rsidRPr="002A758F" w:rsidRDefault="000A055C">
      <w:pPr>
        <w:pStyle w:val="TOC2"/>
        <w:rPr>
          <w:rFonts w:ascii="Calibri" w:hAnsi="Calibri"/>
          <w:snapToGrid/>
          <w:kern w:val="0"/>
          <w:szCs w:val="22"/>
          <w:lang w:eastAsia="en-AU"/>
        </w:rPr>
      </w:pPr>
      <w:hyperlink w:anchor="_Toc354571100" w:history="1">
        <w:r w:rsidR="00B31E85" w:rsidRPr="006D4916">
          <w:rPr>
            <w:rStyle w:val="Hyperlink"/>
          </w:rPr>
          <w:t>1.3</w:t>
        </w:r>
        <w:r w:rsidR="00B31E85" w:rsidRPr="002A758F">
          <w:rPr>
            <w:rFonts w:ascii="Calibri" w:hAnsi="Calibri"/>
            <w:snapToGrid/>
            <w:kern w:val="0"/>
            <w:szCs w:val="22"/>
            <w:lang w:eastAsia="en-AU"/>
          </w:rPr>
          <w:tab/>
        </w:r>
        <w:r w:rsidR="00B31E85" w:rsidRPr="006D4916">
          <w:rPr>
            <w:rStyle w:val="Hyperlink"/>
          </w:rPr>
          <w:t>Scope</w:t>
        </w:r>
        <w:r w:rsidR="00B31E85">
          <w:rPr>
            <w:webHidden/>
          </w:rPr>
          <w:tab/>
        </w:r>
        <w:r w:rsidR="00B31E85">
          <w:rPr>
            <w:webHidden/>
          </w:rPr>
          <w:fldChar w:fldCharType="begin"/>
        </w:r>
        <w:r w:rsidR="00B31E85">
          <w:rPr>
            <w:webHidden/>
          </w:rPr>
          <w:instrText xml:space="preserve"> PAGEREF _Toc354571100 \h </w:instrText>
        </w:r>
        <w:r w:rsidR="00B31E85">
          <w:rPr>
            <w:webHidden/>
          </w:rPr>
        </w:r>
        <w:r w:rsidR="00B31E85">
          <w:rPr>
            <w:webHidden/>
          </w:rPr>
          <w:fldChar w:fldCharType="separate"/>
        </w:r>
        <w:r w:rsidR="00431477">
          <w:rPr>
            <w:webHidden/>
          </w:rPr>
          <w:t>4</w:t>
        </w:r>
        <w:r w:rsidR="00B31E85">
          <w:rPr>
            <w:webHidden/>
          </w:rPr>
          <w:fldChar w:fldCharType="end"/>
        </w:r>
      </w:hyperlink>
    </w:p>
    <w:p w14:paraId="1303248D" w14:textId="77777777" w:rsidR="00B31E85" w:rsidRPr="002A758F" w:rsidRDefault="000A055C">
      <w:pPr>
        <w:pStyle w:val="TOC1"/>
        <w:rPr>
          <w:rFonts w:ascii="Calibri" w:hAnsi="Calibri"/>
          <w:b w:val="0"/>
          <w:snapToGrid/>
          <w:kern w:val="0"/>
          <w:szCs w:val="22"/>
        </w:rPr>
      </w:pPr>
      <w:hyperlink w:anchor="_Toc354571101" w:history="1">
        <w:r w:rsidR="00B31E85" w:rsidRPr="006D4916">
          <w:rPr>
            <w:rStyle w:val="Hyperlink"/>
          </w:rPr>
          <w:t>2</w:t>
        </w:r>
        <w:r w:rsidR="00B31E85" w:rsidRPr="002A758F">
          <w:rPr>
            <w:rFonts w:ascii="Calibri" w:hAnsi="Calibri"/>
            <w:b w:val="0"/>
            <w:snapToGrid/>
            <w:kern w:val="0"/>
            <w:szCs w:val="22"/>
          </w:rPr>
          <w:tab/>
        </w:r>
        <w:r w:rsidR="00B31E85" w:rsidRPr="006D4916">
          <w:rPr>
            <w:rStyle w:val="Hyperlink"/>
          </w:rPr>
          <w:t>Background</w:t>
        </w:r>
        <w:r w:rsidR="00B31E85">
          <w:rPr>
            <w:webHidden/>
          </w:rPr>
          <w:tab/>
        </w:r>
        <w:r w:rsidR="00B31E85">
          <w:rPr>
            <w:webHidden/>
          </w:rPr>
          <w:fldChar w:fldCharType="begin"/>
        </w:r>
        <w:r w:rsidR="00B31E85">
          <w:rPr>
            <w:webHidden/>
          </w:rPr>
          <w:instrText xml:space="preserve"> PAGEREF _Toc354571101 \h </w:instrText>
        </w:r>
        <w:r w:rsidR="00B31E85">
          <w:rPr>
            <w:webHidden/>
          </w:rPr>
        </w:r>
        <w:r w:rsidR="00B31E85">
          <w:rPr>
            <w:webHidden/>
          </w:rPr>
          <w:fldChar w:fldCharType="separate"/>
        </w:r>
        <w:r w:rsidR="00431477">
          <w:rPr>
            <w:webHidden/>
          </w:rPr>
          <w:t>4</w:t>
        </w:r>
        <w:r w:rsidR="00B31E85">
          <w:rPr>
            <w:webHidden/>
          </w:rPr>
          <w:fldChar w:fldCharType="end"/>
        </w:r>
      </w:hyperlink>
    </w:p>
    <w:p w14:paraId="7A9E02B2" w14:textId="77777777" w:rsidR="00B31E85" w:rsidRPr="002A758F" w:rsidRDefault="000A055C">
      <w:pPr>
        <w:pStyle w:val="TOC1"/>
        <w:rPr>
          <w:rFonts w:ascii="Calibri" w:hAnsi="Calibri"/>
          <w:b w:val="0"/>
          <w:snapToGrid/>
          <w:kern w:val="0"/>
          <w:szCs w:val="22"/>
        </w:rPr>
      </w:pPr>
      <w:hyperlink w:anchor="_Toc354571102" w:history="1">
        <w:r w:rsidR="00B31E85" w:rsidRPr="006D4916">
          <w:rPr>
            <w:rStyle w:val="Hyperlink"/>
          </w:rPr>
          <w:t>3</w:t>
        </w:r>
        <w:r w:rsidR="00B31E85" w:rsidRPr="002A758F">
          <w:rPr>
            <w:rFonts w:ascii="Calibri" w:hAnsi="Calibri"/>
            <w:b w:val="0"/>
            <w:snapToGrid/>
            <w:kern w:val="0"/>
            <w:szCs w:val="22"/>
          </w:rPr>
          <w:tab/>
        </w:r>
        <w:r w:rsidR="00B31E85" w:rsidRPr="006D4916">
          <w:rPr>
            <w:rStyle w:val="Hyperlink"/>
          </w:rPr>
          <w:t>The technique</w:t>
        </w:r>
        <w:r w:rsidR="00B31E85">
          <w:rPr>
            <w:webHidden/>
          </w:rPr>
          <w:tab/>
        </w:r>
        <w:r w:rsidR="00B31E85">
          <w:rPr>
            <w:webHidden/>
          </w:rPr>
          <w:fldChar w:fldCharType="begin"/>
        </w:r>
        <w:r w:rsidR="00B31E85">
          <w:rPr>
            <w:webHidden/>
          </w:rPr>
          <w:instrText xml:space="preserve"> PAGEREF _Toc354571102 \h </w:instrText>
        </w:r>
        <w:r w:rsidR="00B31E85">
          <w:rPr>
            <w:webHidden/>
          </w:rPr>
        </w:r>
        <w:r w:rsidR="00B31E85">
          <w:rPr>
            <w:webHidden/>
          </w:rPr>
          <w:fldChar w:fldCharType="separate"/>
        </w:r>
        <w:r w:rsidR="00431477">
          <w:rPr>
            <w:webHidden/>
          </w:rPr>
          <w:t>4</w:t>
        </w:r>
        <w:r w:rsidR="00B31E85">
          <w:rPr>
            <w:webHidden/>
          </w:rPr>
          <w:fldChar w:fldCharType="end"/>
        </w:r>
      </w:hyperlink>
    </w:p>
    <w:p w14:paraId="1ADA5FD3" w14:textId="77777777" w:rsidR="00B31E85" w:rsidRPr="002A758F" w:rsidRDefault="000A055C">
      <w:pPr>
        <w:pStyle w:val="TOC2"/>
        <w:rPr>
          <w:rFonts w:ascii="Calibri" w:hAnsi="Calibri"/>
          <w:snapToGrid/>
          <w:kern w:val="0"/>
          <w:szCs w:val="22"/>
          <w:lang w:eastAsia="en-AU"/>
        </w:rPr>
      </w:pPr>
      <w:hyperlink w:anchor="_Toc354571103" w:history="1">
        <w:r w:rsidR="00B31E85" w:rsidRPr="006D4916">
          <w:rPr>
            <w:rStyle w:val="Hyperlink"/>
          </w:rPr>
          <w:t>3.1</w:t>
        </w:r>
        <w:r w:rsidR="00B31E85" w:rsidRPr="002A758F">
          <w:rPr>
            <w:rFonts w:ascii="Calibri" w:hAnsi="Calibri"/>
            <w:snapToGrid/>
            <w:kern w:val="0"/>
            <w:szCs w:val="22"/>
            <w:lang w:eastAsia="en-AU"/>
          </w:rPr>
          <w:tab/>
        </w:r>
        <w:r w:rsidR="00B31E85" w:rsidRPr="006D4916">
          <w:rPr>
            <w:rStyle w:val="Hyperlink"/>
          </w:rPr>
          <w:t>Assessment criterion</w:t>
        </w:r>
        <w:r w:rsidR="00B31E85">
          <w:rPr>
            <w:webHidden/>
          </w:rPr>
          <w:tab/>
        </w:r>
        <w:r w:rsidR="00B31E85">
          <w:rPr>
            <w:webHidden/>
          </w:rPr>
          <w:fldChar w:fldCharType="begin"/>
        </w:r>
        <w:r w:rsidR="00B31E85">
          <w:rPr>
            <w:webHidden/>
          </w:rPr>
          <w:instrText xml:space="preserve"> PAGEREF _Toc354571103 \h </w:instrText>
        </w:r>
        <w:r w:rsidR="00B31E85">
          <w:rPr>
            <w:webHidden/>
          </w:rPr>
        </w:r>
        <w:r w:rsidR="00B31E85">
          <w:rPr>
            <w:webHidden/>
          </w:rPr>
          <w:fldChar w:fldCharType="separate"/>
        </w:r>
        <w:r w:rsidR="00431477">
          <w:rPr>
            <w:webHidden/>
          </w:rPr>
          <w:t>5</w:t>
        </w:r>
        <w:r w:rsidR="00B31E85">
          <w:rPr>
            <w:webHidden/>
          </w:rPr>
          <w:fldChar w:fldCharType="end"/>
        </w:r>
      </w:hyperlink>
    </w:p>
    <w:p w14:paraId="469AF08D" w14:textId="77777777" w:rsidR="00B31E85" w:rsidRPr="002A758F" w:rsidRDefault="000A055C">
      <w:pPr>
        <w:pStyle w:val="TOC2"/>
        <w:rPr>
          <w:rFonts w:ascii="Calibri" w:hAnsi="Calibri"/>
          <w:snapToGrid/>
          <w:kern w:val="0"/>
          <w:szCs w:val="22"/>
          <w:lang w:eastAsia="en-AU"/>
        </w:rPr>
      </w:pPr>
      <w:hyperlink w:anchor="_Toc354571104" w:history="1">
        <w:r w:rsidR="00B31E85" w:rsidRPr="006D4916">
          <w:rPr>
            <w:rStyle w:val="Hyperlink"/>
          </w:rPr>
          <w:t>3.2</w:t>
        </w:r>
        <w:r w:rsidR="00B31E85" w:rsidRPr="002A758F">
          <w:rPr>
            <w:rFonts w:ascii="Calibri" w:hAnsi="Calibri"/>
            <w:snapToGrid/>
            <w:kern w:val="0"/>
            <w:szCs w:val="22"/>
            <w:lang w:eastAsia="en-AU"/>
          </w:rPr>
          <w:tab/>
        </w:r>
        <w:r w:rsidR="00B31E85" w:rsidRPr="006D4916">
          <w:rPr>
            <w:rStyle w:val="Hyperlink"/>
          </w:rPr>
          <w:t>Assessment worksheet</w:t>
        </w:r>
        <w:r w:rsidR="00B31E85">
          <w:rPr>
            <w:webHidden/>
          </w:rPr>
          <w:tab/>
        </w:r>
        <w:r w:rsidR="00B31E85">
          <w:rPr>
            <w:webHidden/>
          </w:rPr>
          <w:fldChar w:fldCharType="begin"/>
        </w:r>
        <w:r w:rsidR="00B31E85">
          <w:rPr>
            <w:webHidden/>
          </w:rPr>
          <w:instrText xml:space="preserve"> PAGEREF _Toc354571104 \h </w:instrText>
        </w:r>
        <w:r w:rsidR="00B31E85">
          <w:rPr>
            <w:webHidden/>
          </w:rPr>
        </w:r>
        <w:r w:rsidR="00B31E85">
          <w:rPr>
            <w:webHidden/>
          </w:rPr>
          <w:fldChar w:fldCharType="separate"/>
        </w:r>
        <w:r w:rsidR="00431477">
          <w:rPr>
            <w:webHidden/>
          </w:rPr>
          <w:t>6</w:t>
        </w:r>
        <w:r w:rsidR="00B31E85">
          <w:rPr>
            <w:webHidden/>
          </w:rPr>
          <w:fldChar w:fldCharType="end"/>
        </w:r>
      </w:hyperlink>
    </w:p>
    <w:p w14:paraId="410B3554" w14:textId="77777777" w:rsidR="00B31E85" w:rsidRPr="002A758F" w:rsidRDefault="000A055C">
      <w:pPr>
        <w:pStyle w:val="TOC2"/>
        <w:rPr>
          <w:rFonts w:ascii="Calibri" w:hAnsi="Calibri"/>
          <w:snapToGrid/>
          <w:kern w:val="0"/>
          <w:szCs w:val="22"/>
          <w:lang w:eastAsia="en-AU"/>
        </w:rPr>
      </w:pPr>
      <w:hyperlink w:anchor="_Toc354571105" w:history="1">
        <w:r w:rsidR="00B31E85" w:rsidRPr="006D4916">
          <w:rPr>
            <w:rStyle w:val="Hyperlink"/>
          </w:rPr>
          <w:t>3.3</w:t>
        </w:r>
        <w:r w:rsidR="00B31E85" w:rsidRPr="002A758F">
          <w:rPr>
            <w:rFonts w:ascii="Calibri" w:hAnsi="Calibri"/>
            <w:snapToGrid/>
            <w:kern w:val="0"/>
            <w:szCs w:val="22"/>
            <w:lang w:eastAsia="en-AU"/>
          </w:rPr>
          <w:tab/>
        </w:r>
        <w:r w:rsidR="00B31E85" w:rsidRPr="006D4916">
          <w:rPr>
            <w:rStyle w:val="Hyperlink"/>
          </w:rPr>
          <w:t>Priority grid worksheet</w:t>
        </w:r>
        <w:r w:rsidR="00B31E85">
          <w:rPr>
            <w:webHidden/>
          </w:rPr>
          <w:tab/>
        </w:r>
        <w:r w:rsidR="00B31E85">
          <w:rPr>
            <w:webHidden/>
          </w:rPr>
          <w:fldChar w:fldCharType="begin"/>
        </w:r>
        <w:r w:rsidR="00B31E85">
          <w:rPr>
            <w:webHidden/>
          </w:rPr>
          <w:instrText xml:space="preserve"> PAGEREF _Toc354571105 \h </w:instrText>
        </w:r>
        <w:r w:rsidR="00B31E85">
          <w:rPr>
            <w:webHidden/>
          </w:rPr>
        </w:r>
        <w:r w:rsidR="00B31E85">
          <w:rPr>
            <w:webHidden/>
          </w:rPr>
          <w:fldChar w:fldCharType="separate"/>
        </w:r>
        <w:r w:rsidR="00431477">
          <w:rPr>
            <w:webHidden/>
          </w:rPr>
          <w:t>6</w:t>
        </w:r>
        <w:r w:rsidR="00B31E85">
          <w:rPr>
            <w:webHidden/>
          </w:rPr>
          <w:fldChar w:fldCharType="end"/>
        </w:r>
      </w:hyperlink>
    </w:p>
    <w:p w14:paraId="6609A4C4" w14:textId="77777777" w:rsidR="00B31E85" w:rsidRPr="002A758F" w:rsidRDefault="000A055C">
      <w:pPr>
        <w:pStyle w:val="TOC2"/>
        <w:rPr>
          <w:rFonts w:ascii="Calibri" w:hAnsi="Calibri"/>
          <w:snapToGrid/>
          <w:kern w:val="0"/>
          <w:szCs w:val="22"/>
          <w:lang w:eastAsia="en-AU"/>
        </w:rPr>
      </w:pPr>
      <w:hyperlink w:anchor="_Toc354571106" w:history="1">
        <w:r w:rsidR="00B31E85" w:rsidRPr="006D4916">
          <w:rPr>
            <w:rStyle w:val="Hyperlink"/>
          </w:rPr>
          <w:t>3.4</w:t>
        </w:r>
        <w:r w:rsidR="00B31E85" w:rsidRPr="002A758F">
          <w:rPr>
            <w:rFonts w:ascii="Calibri" w:hAnsi="Calibri"/>
            <w:snapToGrid/>
            <w:kern w:val="0"/>
            <w:szCs w:val="22"/>
            <w:lang w:eastAsia="en-AU"/>
          </w:rPr>
          <w:tab/>
        </w:r>
        <w:r w:rsidR="00B31E85" w:rsidRPr="006D4916">
          <w:rPr>
            <w:rStyle w:val="Hyperlink"/>
          </w:rPr>
          <w:t>Ranking worksheet</w:t>
        </w:r>
        <w:r w:rsidR="00B31E85">
          <w:rPr>
            <w:webHidden/>
          </w:rPr>
          <w:tab/>
        </w:r>
        <w:r w:rsidR="00B31E85">
          <w:rPr>
            <w:webHidden/>
          </w:rPr>
          <w:fldChar w:fldCharType="begin"/>
        </w:r>
        <w:r w:rsidR="00B31E85">
          <w:rPr>
            <w:webHidden/>
          </w:rPr>
          <w:instrText xml:space="preserve"> PAGEREF _Toc354571106 \h </w:instrText>
        </w:r>
        <w:r w:rsidR="00B31E85">
          <w:rPr>
            <w:webHidden/>
          </w:rPr>
        </w:r>
        <w:r w:rsidR="00B31E85">
          <w:rPr>
            <w:webHidden/>
          </w:rPr>
          <w:fldChar w:fldCharType="separate"/>
        </w:r>
        <w:r w:rsidR="00431477">
          <w:rPr>
            <w:webHidden/>
          </w:rPr>
          <w:t>7</w:t>
        </w:r>
        <w:r w:rsidR="00B31E85">
          <w:rPr>
            <w:webHidden/>
          </w:rPr>
          <w:fldChar w:fldCharType="end"/>
        </w:r>
      </w:hyperlink>
    </w:p>
    <w:p w14:paraId="1B02D776" w14:textId="77777777" w:rsidR="00B31E85" w:rsidRPr="002A758F" w:rsidRDefault="000A055C">
      <w:pPr>
        <w:pStyle w:val="TOC1"/>
        <w:rPr>
          <w:rFonts w:ascii="Calibri" w:hAnsi="Calibri"/>
          <w:b w:val="0"/>
          <w:snapToGrid/>
          <w:kern w:val="0"/>
          <w:szCs w:val="22"/>
        </w:rPr>
      </w:pPr>
      <w:hyperlink w:anchor="_Toc354571107" w:history="1">
        <w:r w:rsidR="00B31E85" w:rsidRPr="006D4916">
          <w:rPr>
            <w:rStyle w:val="Hyperlink"/>
          </w:rPr>
          <w:t>4</w:t>
        </w:r>
        <w:r w:rsidR="00B31E85" w:rsidRPr="002A758F">
          <w:rPr>
            <w:rFonts w:ascii="Calibri" w:hAnsi="Calibri"/>
            <w:b w:val="0"/>
            <w:snapToGrid/>
            <w:kern w:val="0"/>
            <w:szCs w:val="22"/>
          </w:rPr>
          <w:tab/>
        </w:r>
        <w:r w:rsidR="00B31E85" w:rsidRPr="006D4916">
          <w:rPr>
            <w:rStyle w:val="Hyperlink"/>
          </w:rPr>
          <w:t>Frequently asked questions</w:t>
        </w:r>
        <w:r w:rsidR="00B31E85">
          <w:rPr>
            <w:webHidden/>
          </w:rPr>
          <w:tab/>
        </w:r>
        <w:r w:rsidR="00B31E85">
          <w:rPr>
            <w:webHidden/>
          </w:rPr>
          <w:fldChar w:fldCharType="begin"/>
        </w:r>
        <w:r w:rsidR="00B31E85">
          <w:rPr>
            <w:webHidden/>
          </w:rPr>
          <w:instrText xml:space="preserve"> PAGEREF _Toc354571107 \h </w:instrText>
        </w:r>
        <w:r w:rsidR="00B31E85">
          <w:rPr>
            <w:webHidden/>
          </w:rPr>
        </w:r>
        <w:r w:rsidR="00B31E85">
          <w:rPr>
            <w:webHidden/>
          </w:rPr>
          <w:fldChar w:fldCharType="separate"/>
        </w:r>
        <w:r w:rsidR="00431477">
          <w:rPr>
            <w:webHidden/>
          </w:rPr>
          <w:t>8</w:t>
        </w:r>
        <w:r w:rsidR="00B31E85">
          <w:rPr>
            <w:webHidden/>
          </w:rPr>
          <w:fldChar w:fldCharType="end"/>
        </w:r>
      </w:hyperlink>
    </w:p>
    <w:p w14:paraId="57107EB1" w14:textId="77777777" w:rsidR="00503B8B" w:rsidRDefault="00C314B4" w:rsidP="00766CCB">
      <w:pPr>
        <w:spacing w:before="0" w:after="60"/>
        <w:rPr>
          <w:noProof/>
          <w:snapToGrid w:val="0"/>
        </w:rPr>
      </w:pPr>
      <w:r w:rsidRPr="00766CCB">
        <w:rPr>
          <w:noProof/>
          <w:snapToGrid w:val="0"/>
        </w:rPr>
        <w:fldChar w:fldCharType="end"/>
      </w:r>
    </w:p>
    <w:p w14:paraId="2ED92850" w14:textId="77777777" w:rsidR="00AD0A26" w:rsidRPr="00831408" w:rsidRDefault="00AD0A26" w:rsidP="00831408">
      <w:pPr>
        <w:pStyle w:val="Heading1nonumber"/>
      </w:pPr>
      <w:r w:rsidRPr="00831408">
        <w:t>Figures</w:t>
      </w:r>
      <w:r w:rsidR="00656672" w:rsidRPr="00831408">
        <w:t xml:space="preserve"> </w:t>
      </w:r>
    </w:p>
    <w:p w14:paraId="5BEC6100" w14:textId="77777777" w:rsidR="00B31E85" w:rsidRPr="002A758F" w:rsidRDefault="00C314B4">
      <w:pPr>
        <w:pStyle w:val="TableofFigures"/>
        <w:tabs>
          <w:tab w:val="right" w:leader="dot" w:pos="9628"/>
        </w:tabs>
        <w:rPr>
          <w:rFonts w:ascii="Calibri" w:hAnsi="Calibri"/>
          <w:noProof/>
          <w:szCs w:val="22"/>
        </w:rPr>
      </w:pPr>
      <w:r>
        <w:rPr>
          <w:noProof/>
          <w:snapToGrid w:val="0"/>
          <w:kern w:val="24"/>
        </w:rPr>
        <w:fldChar w:fldCharType="begin"/>
      </w:r>
      <w:r>
        <w:rPr>
          <w:noProof/>
          <w:snapToGrid w:val="0"/>
          <w:kern w:val="24"/>
        </w:rPr>
        <w:instrText xml:space="preserve"> TOC \h \z \c "Figure" </w:instrText>
      </w:r>
      <w:r>
        <w:rPr>
          <w:noProof/>
          <w:snapToGrid w:val="0"/>
          <w:kern w:val="24"/>
        </w:rPr>
        <w:fldChar w:fldCharType="separate"/>
      </w:r>
      <w:hyperlink w:anchor="_Toc354571108" w:history="1">
        <w:r w:rsidR="00B31E85" w:rsidRPr="003753A9">
          <w:rPr>
            <w:rStyle w:val="Hyperlink"/>
            <w:noProof/>
          </w:rPr>
          <w:t>Figure 1 QGEA implementation prioritisation technique assessment criteria</w:t>
        </w:r>
        <w:r w:rsidR="00B31E85">
          <w:rPr>
            <w:noProof/>
            <w:webHidden/>
          </w:rPr>
          <w:tab/>
        </w:r>
        <w:r w:rsidR="00B31E85">
          <w:rPr>
            <w:noProof/>
            <w:webHidden/>
          </w:rPr>
          <w:fldChar w:fldCharType="begin"/>
        </w:r>
        <w:r w:rsidR="00B31E85">
          <w:rPr>
            <w:noProof/>
            <w:webHidden/>
          </w:rPr>
          <w:instrText xml:space="preserve"> PAGEREF _Toc354571108 \h </w:instrText>
        </w:r>
        <w:r w:rsidR="00B31E85">
          <w:rPr>
            <w:noProof/>
            <w:webHidden/>
          </w:rPr>
        </w:r>
        <w:r w:rsidR="00B31E85">
          <w:rPr>
            <w:noProof/>
            <w:webHidden/>
          </w:rPr>
          <w:fldChar w:fldCharType="separate"/>
        </w:r>
        <w:r w:rsidR="00431477">
          <w:rPr>
            <w:noProof/>
            <w:webHidden/>
          </w:rPr>
          <w:t>5</w:t>
        </w:r>
        <w:r w:rsidR="00B31E85">
          <w:rPr>
            <w:noProof/>
            <w:webHidden/>
          </w:rPr>
          <w:fldChar w:fldCharType="end"/>
        </w:r>
      </w:hyperlink>
    </w:p>
    <w:p w14:paraId="165211F9" w14:textId="77777777" w:rsidR="00B31E85" w:rsidRPr="002A758F" w:rsidRDefault="000A055C">
      <w:pPr>
        <w:pStyle w:val="TableofFigures"/>
        <w:tabs>
          <w:tab w:val="right" w:leader="dot" w:pos="9628"/>
        </w:tabs>
        <w:rPr>
          <w:rFonts w:ascii="Calibri" w:hAnsi="Calibri"/>
          <w:noProof/>
          <w:szCs w:val="22"/>
        </w:rPr>
      </w:pPr>
      <w:hyperlink w:anchor="_Toc354571109" w:history="1">
        <w:r w:rsidR="00B31E85" w:rsidRPr="003753A9">
          <w:rPr>
            <w:rStyle w:val="Hyperlink"/>
            <w:noProof/>
          </w:rPr>
          <w:t>Figure 2 Excerpt from assessment worksheet</w:t>
        </w:r>
        <w:r w:rsidR="00B31E85">
          <w:rPr>
            <w:noProof/>
            <w:webHidden/>
          </w:rPr>
          <w:tab/>
        </w:r>
        <w:r w:rsidR="00B31E85">
          <w:rPr>
            <w:noProof/>
            <w:webHidden/>
          </w:rPr>
          <w:fldChar w:fldCharType="begin"/>
        </w:r>
        <w:r w:rsidR="00B31E85">
          <w:rPr>
            <w:noProof/>
            <w:webHidden/>
          </w:rPr>
          <w:instrText xml:space="preserve"> PAGEREF _Toc354571109 \h </w:instrText>
        </w:r>
        <w:r w:rsidR="00B31E85">
          <w:rPr>
            <w:noProof/>
            <w:webHidden/>
          </w:rPr>
        </w:r>
        <w:r w:rsidR="00B31E85">
          <w:rPr>
            <w:noProof/>
            <w:webHidden/>
          </w:rPr>
          <w:fldChar w:fldCharType="separate"/>
        </w:r>
        <w:r w:rsidR="00431477">
          <w:rPr>
            <w:noProof/>
            <w:webHidden/>
          </w:rPr>
          <w:t>6</w:t>
        </w:r>
        <w:r w:rsidR="00B31E85">
          <w:rPr>
            <w:noProof/>
            <w:webHidden/>
          </w:rPr>
          <w:fldChar w:fldCharType="end"/>
        </w:r>
      </w:hyperlink>
    </w:p>
    <w:p w14:paraId="6588302E" w14:textId="77777777" w:rsidR="00B31E85" w:rsidRPr="002A758F" w:rsidRDefault="000A055C">
      <w:pPr>
        <w:pStyle w:val="TableofFigures"/>
        <w:tabs>
          <w:tab w:val="right" w:leader="dot" w:pos="9628"/>
        </w:tabs>
        <w:rPr>
          <w:rFonts w:ascii="Calibri" w:hAnsi="Calibri"/>
          <w:noProof/>
          <w:szCs w:val="22"/>
        </w:rPr>
      </w:pPr>
      <w:hyperlink w:anchor="_Toc354571110" w:history="1">
        <w:r w:rsidR="00B31E85" w:rsidRPr="003753A9">
          <w:rPr>
            <w:rStyle w:val="Hyperlink"/>
            <w:noProof/>
          </w:rPr>
          <w:t>Figure 3 Priority grid</w:t>
        </w:r>
        <w:r w:rsidR="00B31E85">
          <w:rPr>
            <w:noProof/>
            <w:webHidden/>
          </w:rPr>
          <w:tab/>
        </w:r>
        <w:r w:rsidR="00B31E85">
          <w:rPr>
            <w:noProof/>
            <w:webHidden/>
          </w:rPr>
          <w:fldChar w:fldCharType="begin"/>
        </w:r>
        <w:r w:rsidR="00B31E85">
          <w:rPr>
            <w:noProof/>
            <w:webHidden/>
          </w:rPr>
          <w:instrText xml:space="preserve"> PAGEREF _Toc354571110 \h </w:instrText>
        </w:r>
        <w:r w:rsidR="00B31E85">
          <w:rPr>
            <w:noProof/>
            <w:webHidden/>
          </w:rPr>
        </w:r>
        <w:r w:rsidR="00B31E85">
          <w:rPr>
            <w:noProof/>
            <w:webHidden/>
          </w:rPr>
          <w:fldChar w:fldCharType="separate"/>
        </w:r>
        <w:r w:rsidR="00431477">
          <w:rPr>
            <w:noProof/>
            <w:webHidden/>
          </w:rPr>
          <w:t>7</w:t>
        </w:r>
        <w:r w:rsidR="00B31E85">
          <w:rPr>
            <w:noProof/>
            <w:webHidden/>
          </w:rPr>
          <w:fldChar w:fldCharType="end"/>
        </w:r>
      </w:hyperlink>
    </w:p>
    <w:p w14:paraId="34AD53CA" w14:textId="77777777" w:rsidR="00AD0A26" w:rsidRDefault="00C314B4" w:rsidP="00766CCB">
      <w:pPr>
        <w:rPr>
          <w:noProof/>
          <w:snapToGrid w:val="0"/>
        </w:rPr>
      </w:pPr>
      <w:r>
        <w:rPr>
          <w:noProof/>
          <w:snapToGrid w:val="0"/>
        </w:rPr>
        <w:fldChar w:fldCharType="end"/>
      </w:r>
    </w:p>
    <w:p w14:paraId="7874489E" w14:textId="77777777" w:rsidR="00AD0A26" w:rsidRPr="00831408" w:rsidRDefault="00AD0A26" w:rsidP="00831408">
      <w:pPr>
        <w:pStyle w:val="Heading1nonumber"/>
        <w:rPr>
          <w:noProof/>
          <w:kern w:val="24"/>
        </w:rPr>
      </w:pPr>
      <w:r w:rsidRPr="00831408">
        <w:t>Tables</w:t>
      </w:r>
      <w:r w:rsidR="00656672" w:rsidRPr="00831408">
        <w:t xml:space="preserve"> </w:t>
      </w:r>
    </w:p>
    <w:p w14:paraId="2012C63E" w14:textId="77777777" w:rsidR="00B31E85" w:rsidRPr="002A758F" w:rsidRDefault="00C314B4">
      <w:pPr>
        <w:pStyle w:val="TableofFigures"/>
        <w:tabs>
          <w:tab w:val="right" w:leader="dot" w:pos="9628"/>
        </w:tabs>
        <w:rPr>
          <w:rFonts w:ascii="Calibri" w:hAnsi="Calibri"/>
          <w:noProof/>
          <w:szCs w:val="22"/>
        </w:rPr>
      </w:pPr>
      <w:r>
        <w:rPr>
          <w:noProof/>
          <w:snapToGrid w:val="0"/>
          <w:kern w:val="24"/>
        </w:rPr>
        <w:fldChar w:fldCharType="begin"/>
      </w:r>
      <w:r>
        <w:rPr>
          <w:noProof/>
          <w:snapToGrid w:val="0"/>
          <w:kern w:val="24"/>
        </w:rPr>
        <w:instrText xml:space="preserve"> TOC \h \z \c "Table" </w:instrText>
      </w:r>
      <w:r>
        <w:rPr>
          <w:noProof/>
          <w:snapToGrid w:val="0"/>
          <w:kern w:val="24"/>
        </w:rPr>
        <w:fldChar w:fldCharType="separate"/>
      </w:r>
      <w:hyperlink w:anchor="_Toc354571111" w:history="1">
        <w:r w:rsidR="00B31E85" w:rsidRPr="00C2063D">
          <w:rPr>
            <w:rStyle w:val="Hyperlink"/>
            <w:noProof/>
          </w:rPr>
          <w:t>Table 1 Example ranking of QGEA policy implementation</w:t>
        </w:r>
        <w:r w:rsidR="00B31E85">
          <w:rPr>
            <w:noProof/>
            <w:webHidden/>
          </w:rPr>
          <w:tab/>
        </w:r>
        <w:r w:rsidR="00B31E85">
          <w:rPr>
            <w:noProof/>
            <w:webHidden/>
          </w:rPr>
          <w:fldChar w:fldCharType="begin"/>
        </w:r>
        <w:r w:rsidR="00B31E85">
          <w:rPr>
            <w:noProof/>
            <w:webHidden/>
          </w:rPr>
          <w:instrText xml:space="preserve"> PAGEREF _Toc354571111 \h </w:instrText>
        </w:r>
        <w:r w:rsidR="00B31E85">
          <w:rPr>
            <w:noProof/>
            <w:webHidden/>
          </w:rPr>
        </w:r>
        <w:r w:rsidR="00B31E85">
          <w:rPr>
            <w:noProof/>
            <w:webHidden/>
          </w:rPr>
          <w:fldChar w:fldCharType="separate"/>
        </w:r>
        <w:r w:rsidR="00431477">
          <w:rPr>
            <w:noProof/>
            <w:webHidden/>
          </w:rPr>
          <w:t>8</w:t>
        </w:r>
        <w:r w:rsidR="00B31E85">
          <w:rPr>
            <w:noProof/>
            <w:webHidden/>
          </w:rPr>
          <w:fldChar w:fldCharType="end"/>
        </w:r>
      </w:hyperlink>
    </w:p>
    <w:p w14:paraId="0B4C0148" w14:textId="77777777" w:rsidR="00AD0A26" w:rsidRDefault="00C314B4" w:rsidP="00766CCB">
      <w:pPr>
        <w:rPr>
          <w:noProof/>
          <w:snapToGrid w:val="0"/>
        </w:rPr>
      </w:pPr>
      <w:r>
        <w:rPr>
          <w:noProof/>
          <w:snapToGrid w:val="0"/>
        </w:rPr>
        <w:fldChar w:fldCharType="end"/>
      </w:r>
    </w:p>
    <w:p w14:paraId="7DD9E8F1" w14:textId="77777777" w:rsidR="00AD0A26" w:rsidRDefault="00AD0A26" w:rsidP="00766CCB">
      <w:pPr>
        <w:rPr>
          <w:noProof/>
          <w:snapToGrid w:val="0"/>
        </w:rPr>
      </w:pPr>
    </w:p>
    <w:p w14:paraId="2BCA51D3" w14:textId="77777777" w:rsidR="00AD0A26" w:rsidRPr="00055798" w:rsidRDefault="00AD0A26" w:rsidP="00766CCB">
      <w:pPr>
        <w:rPr>
          <w:noProof/>
          <w:snapToGrid w:val="0"/>
        </w:rPr>
        <w:sectPr w:rsidR="00AD0A26" w:rsidRPr="00055798" w:rsidSect="005E7B99">
          <w:headerReference w:type="default" r:id="rId12"/>
          <w:footerReference w:type="default" r:id="rId13"/>
          <w:headerReference w:type="first" r:id="rId14"/>
          <w:footerReference w:type="first" r:id="rId15"/>
          <w:pgSz w:w="11906" w:h="16838" w:code="9"/>
          <w:pgMar w:top="1418" w:right="1134" w:bottom="1134" w:left="1134" w:header="397" w:footer="284" w:gutter="0"/>
          <w:cols w:space="708"/>
          <w:titlePg/>
          <w:docGrid w:linePitch="360"/>
        </w:sectPr>
      </w:pPr>
    </w:p>
    <w:p w14:paraId="0BB1D144" w14:textId="77777777" w:rsidR="00CA72BA" w:rsidRPr="00831408" w:rsidRDefault="00FF3EF6" w:rsidP="00831408">
      <w:pPr>
        <w:pStyle w:val="Heading1"/>
      </w:pPr>
      <w:bookmarkStart w:id="1" w:name="_Toc354571097"/>
      <w:bookmarkStart w:id="2" w:name="_Ref214338390"/>
      <w:r w:rsidRPr="00831408">
        <w:lastRenderedPageBreak/>
        <w:t>Introduction</w:t>
      </w:r>
      <w:bookmarkEnd w:id="1"/>
      <w:r w:rsidRPr="00831408">
        <w:t xml:space="preserve"> </w:t>
      </w:r>
    </w:p>
    <w:p w14:paraId="3FB5C75D" w14:textId="77777777" w:rsidR="00CA72BA" w:rsidRPr="00831408" w:rsidRDefault="00FF3EF6" w:rsidP="00831408">
      <w:pPr>
        <w:pStyle w:val="Heading2"/>
      </w:pPr>
      <w:bookmarkStart w:id="3" w:name="_Toc354571098"/>
      <w:bookmarkEnd w:id="2"/>
      <w:r w:rsidRPr="00831408">
        <w:t>Purpose</w:t>
      </w:r>
      <w:bookmarkEnd w:id="3"/>
    </w:p>
    <w:p w14:paraId="3BAE1453" w14:textId="77777777" w:rsidR="00E62C3A" w:rsidRDefault="00E62C3A" w:rsidP="00E62C3A">
      <w:pPr>
        <w:pStyle w:val="BodyText"/>
      </w:pPr>
      <w:r>
        <w:t>A Queensland Government Enterprise Architecture (QGEA) guideline provides information for Queensland Government departments on the recommended practices for a given topic area. Guidelines are generally for information only and departments are not required to comply. They are intended to help departments understand the appropriate approach to addressing a particular issue or doing a particular task.</w:t>
      </w:r>
    </w:p>
    <w:p w14:paraId="204E9051" w14:textId="77777777" w:rsidR="00E62C3A" w:rsidRDefault="00E62C3A" w:rsidP="00E62C3A">
      <w:pPr>
        <w:pStyle w:val="BodyText"/>
      </w:pPr>
      <w:r>
        <w:t xml:space="preserve">This guideline explains the technique demonstrated within the </w:t>
      </w:r>
      <w:hyperlink r:id="rId16" w:history="1">
        <w:r w:rsidRPr="002549BE">
          <w:rPr>
            <w:rStyle w:val="Hyperlink"/>
            <w:i/>
          </w:rPr>
          <w:t>Queensland Government Enterprise Architecture (QGEA) implementation prioritisation technique</w:t>
        </w:r>
        <w:r w:rsidRPr="002549BE">
          <w:rPr>
            <w:rStyle w:val="Hyperlink"/>
          </w:rPr>
          <w:t xml:space="preserve"> </w:t>
        </w:r>
        <w:r w:rsidRPr="002549BE">
          <w:rPr>
            <w:rStyle w:val="Hyperlink"/>
            <w:i/>
          </w:rPr>
          <w:t>spreadsheet</w:t>
        </w:r>
      </w:hyperlink>
      <w:r w:rsidRPr="001702BE">
        <w:rPr>
          <w:i/>
        </w:rPr>
        <w:t>.</w:t>
      </w:r>
    </w:p>
    <w:p w14:paraId="010336F1" w14:textId="77777777" w:rsidR="00CA72BA" w:rsidRDefault="00E62C3A" w:rsidP="00831408">
      <w:pPr>
        <w:pStyle w:val="Heading2"/>
      </w:pPr>
      <w:bookmarkStart w:id="4" w:name="_Toc354571099"/>
      <w:r>
        <w:t>Audience</w:t>
      </w:r>
      <w:bookmarkEnd w:id="4"/>
    </w:p>
    <w:p w14:paraId="735F61E9" w14:textId="77777777" w:rsidR="00CD0A7F" w:rsidRDefault="00CD0A7F" w:rsidP="00CD0A7F">
      <w:pPr>
        <w:pStyle w:val="BodyText"/>
      </w:pPr>
      <w:r>
        <w:t>This document is primarily intended for Queensland Government departments.</w:t>
      </w:r>
    </w:p>
    <w:p w14:paraId="2D3C27D9" w14:textId="77777777" w:rsidR="00CA72BA" w:rsidRPr="00055798" w:rsidRDefault="003D70B5" w:rsidP="003D70B5">
      <w:pPr>
        <w:pStyle w:val="Heading2"/>
      </w:pPr>
      <w:bookmarkStart w:id="5" w:name="_Toc354571100"/>
      <w:r>
        <w:t>Scope</w:t>
      </w:r>
      <w:bookmarkEnd w:id="5"/>
    </w:p>
    <w:p w14:paraId="77D18D1D" w14:textId="77777777" w:rsidR="003D70B5" w:rsidRDefault="003D70B5" w:rsidP="003D70B5">
      <w:pPr>
        <w:pStyle w:val="BodyText"/>
        <w:rPr>
          <w:i/>
        </w:rPr>
      </w:pPr>
      <w:r>
        <w:t>This guideline relates to the domain</w:t>
      </w:r>
      <w:r w:rsidR="00D56B8E">
        <w:t>s</w:t>
      </w:r>
      <w:r>
        <w:t xml:space="preserve"> BP-</w:t>
      </w:r>
      <w:r w:rsidR="00D56B8E">
        <w:t>1.2</w:t>
      </w:r>
      <w:r>
        <w:t xml:space="preserve"> </w:t>
      </w:r>
      <w:r w:rsidR="00E15F6E">
        <w:t>Develop business strategy and 10.2 Manage compliance</w:t>
      </w:r>
      <w:r>
        <w:t xml:space="preserve"> within the </w:t>
      </w:r>
      <w:hyperlink r:id="rId17" w:history="1">
        <w:r w:rsidR="00E15F6E">
          <w:rPr>
            <w:rStyle w:val="Hyperlink"/>
          </w:rPr>
          <w:t>APQC</w:t>
        </w:r>
        <w:r w:rsidRPr="00B31E85">
          <w:rPr>
            <w:rStyle w:val="Hyperlink"/>
          </w:rPr>
          <w:t xml:space="preserve"> Process Classification Framework</w:t>
        </w:r>
      </w:hyperlink>
      <w:r>
        <w:rPr>
          <w:i/>
        </w:rPr>
        <w:t xml:space="preserve">. </w:t>
      </w:r>
    </w:p>
    <w:p w14:paraId="3D1F9735" w14:textId="77777777" w:rsidR="003D70B5" w:rsidRDefault="003D70B5" w:rsidP="003D70B5">
      <w:pPr>
        <w:pStyle w:val="Heading1"/>
      </w:pPr>
      <w:bookmarkStart w:id="6" w:name="_Toc354571101"/>
      <w:r>
        <w:t>Background</w:t>
      </w:r>
      <w:bookmarkEnd w:id="6"/>
    </w:p>
    <w:p w14:paraId="7FF8A7E3" w14:textId="77777777" w:rsidR="003D70B5" w:rsidRPr="00397063" w:rsidRDefault="003D70B5" w:rsidP="003D70B5">
      <w:pPr>
        <w:pStyle w:val="BodyText"/>
        <w:rPr>
          <w:highlight w:val="yellow"/>
        </w:rPr>
      </w:pPr>
      <w:r>
        <w:t xml:space="preserve">The </w:t>
      </w:r>
      <w:r w:rsidRPr="00C0004E">
        <w:rPr>
          <w:i/>
        </w:rPr>
        <w:t>QGEA implementation prioritisation technique</w:t>
      </w:r>
      <w:r>
        <w:rPr>
          <w:i/>
        </w:rPr>
        <w:t xml:space="preserve"> spreadsheet </w:t>
      </w:r>
      <w:r>
        <w:t xml:space="preserve">was developed to demonstrate how Queensland Government departments can prioritise their implementation of QGEA policies. </w:t>
      </w:r>
    </w:p>
    <w:p w14:paraId="014DB54A" w14:textId="77777777" w:rsidR="003D70B5" w:rsidRPr="00D56F19" w:rsidRDefault="003D70B5" w:rsidP="003D70B5">
      <w:pPr>
        <w:pStyle w:val="BodyText"/>
        <w:rPr>
          <w:highlight w:val="yellow"/>
        </w:rPr>
      </w:pPr>
      <w:r>
        <w:t>Whilst all QGEA policies are mandatory and departments are required to align with them, the technique provides a means for departments to prioritise their QGEA implementation activities and inform the development of an implementation plan.</w:t>
      </w:r>
    </w:p>
    <w:p w14:paraId="1D309B3F" w14:textId="77777777" w:rsidR="003D70B5" w:rsidRDefault="003D70B5" w:rsidP="003D70B5">
      <w:pPr>
        <w:pStyle w:val="BodyText"/>
      </w:pPr>
      <w:r>
        <w:t xml:space="preserve">The </w:t>
      </w:r>
      <w:r>
        <w:rPr>
          <w:i/>
        </w:rPr>
        <w:t>QGEA</w:t>
      </w:r>
      <w:r w:rsidRPr="00A64CF2">
        <w:rPr>
          <w:i/>
        </w:rPr>
        <w:t xml:space="preserve"> implementation prioritisation technique spreadsheet</w:t>
      </w:r>
      <w:r>
        <w:t xml:space="preserve"> has been used to demonstrate the technique and is not a fully functional tool (e.g. the priority grid is not automated). Departments that choose to adopt the technique would need to extend the spreadsheet to meet their requirements</w:t>
      </w:r>
      <w:r w:rsidR="00BD5C69">
        <w:t xml:space="preserve">. For an example of how the spreadsheet could be extended further see the then </w:t>
      </w:r>
      <w:r w:rsidR="00BD5C69" w:rsidRPr="00B31E85">
        <w:t xml:space="preserve">Department of Public Works’ </w:t>
      </w:r>
      <w:r w:rsidR="00BD5C69" w:rsidRPr="00B31E85">
        <w:rPr>
          <w:i/>
        </w:rPr>
        <w:t>QGEA implementation prioritisation template</w:t>
      </w:r>
      <w:r w:rsidR="00BD5C69">
        <w:t xml:space="preserve"> in the </w:t>
      </w:r>
      <w:hyperlink r:id="rId18" w:anchor="letter_Q" w:history="1">
        <w:r w:rsidR="00BD5C69" w:rsidRPr="00BD5C69">
          <w:rPr>
            <w:rStyle w:val="Hyperlink"/>
          </w:rPr>
          <w:t>QGCIO Knowledge base</w:t>
        </w:r>
      </w:hyperlink>
      <w:r w:rsidR="006D3EBA">
        <w:t xml:space="preserve"> (Queensland Government employees only)</w:t>
      </w:r>
      <w:r w:rsidR="00BD5C69">
        <w:t>.</w:t>
      </w:r>
    </w:p>
    <w:p w14:paraId="6CC07EAD" w14:textId="77777777" w:rsidR="003D70B5" w:rsidRPr="00CF528A" w:rsidRDefault="003D70B5" w:rsidP="003D70B5">
      <w:pPr>
        <w:pStyle w:val="Heading1"/>
      </w:pPr>
      <w:bookmarkStart w:id="7" w:name="_Toc313613526"/>
      <w:bookmarkStart w:id="8" w:name="_Toc354571102"/>
      <w:r>
        <w:t>The technique</w:t>
      </w:r>
      <w:bookmarkEnd w:id="7"/>
      <w:bookmarkEnd w:id="8"/>
    </w:p>
    <w:p w14:paraId="2FC8A06E" w14:textId="77777777" w:rsidR="003D70B5" w:rsidRDefault="003D70B5" w:rsidP="003D70B5">
      <w:pPr>
        <w:pStyle w:val="BodyText"/>
      </w:pPr>
      <w:r>
        <w:t>The technique uses assessments of attractiveness and achievability to prioritise implementation of QGEA policies. For the purpose of this assessment, attractiveness examines the contribution the policy makes to current whole-of-</w:t>
      </w:r>
      <w:r w:rsidR="00B31E85">
        <w:t>g</w:t>
      </w:r>
      <w:r>
        <w:t>overnment and departmental business direction, benefits realisation and risk mitigation. Achievability examines the likelihood of successful implementation based on the department’s current capability and capacity.</w:t>
      </w:r>
    </w:p>
    <w:p w14:paraId="3EBF7BA5" w14:textId="77777777" w:rsidR="003D70B5" w:rsidRDefault="00B31E85" w:rsidP="003D70B5">
      <w:pPr>
        <w:pStyle w:val="BodyText"/>
      </w:pPr>
      <w:r>
        <w:br w:type="page"/>
      </w:r>
      <w:r w:rsidR="003D70B5" w:rsidRPr="00523A87">
        <w:lastRenderedPageBreak/>
        <w:t>The technique is available in spreadsheet format</w:t>
      </w:r>
      <w:r w:rsidR="003D70B5">
        <w:t>. It consists of the following worksheets:</w:t>
      </w:r>
    </w:p>
    <w:p w14:paraId="52F7410E" w14:textId="77777777" w:rsidR="003D70B5" w:rsidRDefault="003D70B5" w:rsidP="003D70B5">
      <w:pPr>
        <w:pStyle w:val="Bulletcircle"/>
      </w:pPr>
      <w:r w:rsidRPr="00090B81">
        <w:rPr>
          <w:b/>
        </w:rPr>
        <w:t>introduction</w:t>
      </w:r>
      <w:r>
        <w:t xml:space="preserve"> – links to this guideline</w:t>
      </w:r>
    </w:p>
    <w:p w14:paraId="7287A74D" w14:textId="77777777" w:rsidR="003D70B5" w:rsidRDefault="003D70B5" w:rsidP="003D70B5">
      <w:pPr>
        <w:pStyle w:val="Bulletcircle"/>
      </w:pPr>
      <w:r w:rsidRPr="00090B81">
        <w:rPr>
          <w:b/>
        </w:rPr>
        <w:t>assessment criteri</w:t>
      </w:r>
      <w:r>
        <w:rPr>
          <w:b/>
        </w:rPr>
        <w:t>a</w:t>
      </w:r>
      <w:r>
        <w:t xml:space="preserve"> – diagram of the assessment criterion for attractiveness and achievability (see also figure 1 below)</w:t>
      </w:r>
    </w:p>
    <w:p w14:paraId="592A206B" w14:textId="77777777" w:rsidR="003D70B5" w:rsidRDefault="003D70B5" w:rsidP="003D70B5">
      <w:pPr>
        <w:pStyle w:val="Bulletcircle"/>
      </w:pPr>
      <w:r w:rsidRPr="00090B81">
        <w:rPr>
          <w:b/>
        </w:rPr>
        <w:t xml:space="preserve">assessment </w:t>
      </w:r>
      <w:r>
        <w:t>– the implementation prioritisation assessment to be completed for each QGEA policy</w:t>
      </w:r>
    </w:p>
    <w:p w14:paraId="402A94FE" w14:textId="77777777" w:rsidR="003D70B5" w:rsidRDefault="003D70B5" w:rsidP="003D70B5">
      <w:pPr>
        <w:pStyle w:val="Bulletcircle"/>
      </w:pPr>
      <w:r>
        <w:rPr>
          <w:b/>
        </w:rPr>
        <w:t xml:space="preserve">ranking </w:t>
      </w:r>
      <w:r>
        <w:t>– table that derives an overall ranking score (or implementation sequence) and identifies the priority action for each policy</w:t>
      </w:r>
    </w:p>
    <w:p w14:paraId="3CA2B23C" w14:textId="77777777" w:rsidR="003D70B5" w:rsidRDefault="003D70B5" w:rsidP="003D70B5">
      <w:pPr>
        <w:pStyle w:val="Bulletcircle"/>
      </w:pPr>
      <w:r w:rsidRPr="00090B81">
        <w:rPr>
          <w:b/>
        </w:rPr>
        <w:t>priority grid</w:t>
      </w:r>
      <w:r>
        <w:t xml:space="preserve"> – suggested way to present where each QGEA policy falls in one of the four possible priority actions.</w:t>
      </w:r>
    </w:p>
    <w:p w14:paraId="489C7918" w14:textId="77777777" w:rsidR="003D70B5" w:rsidRDefault="003D70B5" w:rsidP="003D70B5">
      <w:pPr>
        <w:pStyle w:val="BodyText"/>
      </w:pPr>
      <w:r>
        <w:t>It is recommended that departments using this technique reassess the QGEA policies periodically (e.g. every six to 12 months) to reflect changes in priorities, capability, capacity and QGEA implementation progress.</w:t>
      </w:r>
    </w:p>
    <w:p w14:paraId="35DE6AA1" w14:textId="77777777" w:rsidR="00CA72BA" w:rsidRDefault="003D70B5" w:rsidP="00831408">
      <w:pPr>
        <w:pStyle w:val="Heading2"/>
      </w:pPr>
      <w:bookmarkStart w:id="9" w:name="_Toc354571103"/>
      <w:r>
        <w:t>Assessment criterion</w:t>
      </w:r>
      <w:bookmarkEnd w:id="9"/>
    </w:p>
    <w:p w14:paraId="30AD8552" w14:textId="77777777" w:rsidR="003D70B5" w:rsidRPr="00D45759" w:rsidRDefault="003D70B5" w:rsidP="003D70B5">
      <w:pPr>
        <w:pStyle w:val="BodyText"/>
      </w:pPr>
      <w:r w:rsidRPr="00D45759">
        <w:t>This worksheet provides a graphical view of the QGEA assessment implementation prioritisation technique</w:t>
      </w:r>
      <w:r>
        <w:t xml:space="preserve"> criteria for both attractiveness and achievability</w:t>
      </w:r>
      <w:r w:rsidRPr="00D45759">
        <w:t xml:space="preserve"> (</w:t>
      </w:r>
      <w:r>
        <w:t xml:space="preserve">as in </w:t>
      </w:r>
      <w:r>
        <w:fldChar w:fldCharType="begin"/>
      </w:r>
      <w:r>
        <w:instrText xml:space="preserve"> REF _Ref311633697 \h </w:instrText>
      </w:r>
      <w:r>
        <w:fldChar w:fldCharType="separate"/>
      </w:r>
      <w:r w:rsidR="00E43144">
        <w:t xml:space="preserve">Figure </w:t>
      </w:r>
      <w:r w:rsidR="00E43144">
        <w:rPr>
          <w:noProof/>
        </w:rPr>
        <w:t>1</w:t>
      </w:r>
      <w:r>
        <w:fldChar w:fldCharType="end"/>
      </w:r>
      <w:r>
        <w:t xml:space="preserve">). </w:t>
      </w:r>
    </w:p>
    <w:p w14:paraId="0BE064AC" w14:textId="77777777" w:rsidR="003D70B5" w:rsidRPr="00943A7E" w:rsidRDefault="006D3EBA" w:rsidP="003D70B5">
      <w:pPr>
        <w:pStyle w:val="BodyText"/>
        <w:ind w:left="0"/>
        <w:rPr>
          <w:highlight w:val="yellow"/>
        </w:rPr>
      </w:pPr>
      <w:r>
        <w:rPr>
          <w:noProof/>
        </w:rPr>
        <w:drawing>
          <wp:inline distT="0" distB="0" distL="0" distR="0" wp14:anchorId="2AA95F7B" wp14:editId="3EC0CDFF">
            <wp:extent cx="6115050" cy="3495675"/>
            <wp:effectExtent l="0" t="0" r="0" b="0"/>
            <wp:docPr id="6" name="Picture 1" descr="Agency QGEA implementation prioritisation tool v 0 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QGEA implementation prioritisation tool v 0 0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3495675"/>
                    </a:xfrm>
                    <a:prstGeom prst="rect">
                      <a:avLst/>
                    </a:prstGeom>
                    <a:noFill/>
                    <a:ln>
                      <a:noFill/>
                    </a:ln>
                  </pic:spPr>
                </pic:pic>
              </a:graphicData>
            </a:graphic>
          </wp:inline>
        </w:drawing>
      </w:r>
    </w:p>
    <w:p w14:paraId="3A82D1B5" w14:textId="77777777" w:rsidR="003D70B5" w:rsidRDefault="003D70B5" w:rsidP="003D70B5">
      <w:pPr>
        <w:pStyle w:val="Caption"/>
        <w:ind w:left="0"/>
        <w:jc w:val="center"/>
      </w:pPr>
      <w:bookmarkStart w:id="10" w:name="_Ref311633697"/>
      <w:bookmarkStart w:id="11" w:name="_Ref310239562"/>
      <w:bookmarkStart w:id="12" w:name="_Toc313613532"/>
      <w:bookmarkStart w:id="13" w:name="_Toc354571108"/>
      <w:r>
        <w:t xml:space="preserve">Figure </w:t>
      </w:r>
      <w:fldSimple w:instr=" SEQ Figure \* ARABIC ">
        <w:r w:rsidR="00E43144">
          <w:rPr>
            <w:noProof/>
          </w:rPr>
          <w:t>1</w:t>
        </w:r>
      </w:fldSimple>
      <w:bookmarkEnd w:id="10"/>
      <w:r>
        <w:t xml:space="preserve"> QGEA implementation prioritisation technique assessment </w:t>
      </w:r>
      <w:bookmarkEnd w:id="11"/>
      <w:r>
        <w:t>criteria</w:t>
      </w:r>
      <w:bookmarkEnd w:id="12"/>
      <w:bookmarkEnd w:id="13"/>
    </w:p>
    <w:p w14:paraId="47B3E193" w14:textId="77777777" w:rsidR="003D70B5" w:rsidRDefault="003D70B5" w:rsidP="003D70B5">
      <w:pPr>
        <w:pStyle w:val="BodyText"/>
      </w:pPr>
      <w:r>
        <w:fldChar w:fldCharType="begin"/>
      </w:r>
      <w:r>
        <w:instrText xml:space="preserve"> REF _Ref311633697 \h </w:instrText>
      </w:r>
      <w:r>
        <w:fldChar w:fldCharType="separate"/>
      </w:r>
      <w:r w:rsidR="00E43144">
        <w:t xml:space="preserve">Figure </w:t>
      </w:r>
      <w:r w:rsidR="00E43144">
        <w:rPr>
          <w:noProof/>
        </w:rPr>
        <w:t>1</w:t>
      </w:r>
      <w:r>
        <w:fldChar w:fldCharType="end"/>
      </w:r>
      <w:r>
        <w:t xml:space="preserve"> </w:t>
      </w:r>
      <w:r w:rsidR="00964758">
        <w:t>al</w:t>
      </w:r>
      <w:r>
        <w:t xml:space="preserve">so demonstrates that all criterion </w:t>
      </w:r>
      <w:proofErr w:type="gramStart"/>
      <w:r>
        <w:t>with the exception of</w:t>
      </w:r>
      <w:proofErr w:type="gramEnd"/>
      <w:r>
        <w:t xml:space="preserve"> mandate have sub criteria. For example the attractiveness criterion of strategic alignment consists of the sub-criteria of both whole-of-</w:t>
      </w:r>
      <w:r w:rsidR="00B31E85">
        <w:t>g</w:t>
      </w:r>
      <w:r>
        <w:t>overnment direction and departmental business direction.</w:t>
      </w:r>
    </w:p>
    <w:p w14:paraId="5AE18F8E" w14:textId="77777777" w:rsidR="00CA72BA" w:rsidRDefault="00B31E85" w:rsidP="007D572A">
      <w:pPr>
        <w:pStyle w:val="Heading2"/>
      </w:pPr>
      <w:r>
        <w:br w:type="page"/>
      </w:r>
      <w:bookmarkStart w:id="14" w:name="_Toc354571104"/>
      <w:r w:rsidR="003D70B5">
        <w:lastRenderedPageBreak/>
        <w:t>Assessment worksheet</w:t>
      </w:r>
      <w:bookmarkEnd w:id="14"/>
    </w:p>
    <w:p w14:paraId="1A4D1B8C" w14:textId="77777777" w:rsidR="003D70B5" w:rsidRDefault="003D70B5" w:rsidP="003D70B5">
      <w:pPr>
        <w:pStyle w:val="BodyText"/>
      </w:pPr>
      <w:r>
        <w:t xml:space="preserve">Each dimension is evaluated and scored on a 0-5 rating scale by allocating the most appropriate score specified in the </w:t>
      </w:r>
      <w:r w:rsidRPr="002D44C3">
        <w:t>assessment worksheet</w:t>
      </w:r>
      <w:r>
        <w:t xml:space="preserve"> as (see </w:t>
      </w:r>
      <w:r>
        <w:fldChar w:fldCharType="begin"/>
      </w:r>
      <w:r>
        <w:instrText xml:space="preserve"> REF _Ref311633787 \h </w:instrText>
      </w:r>
      <w:r>
        <w:fldChar w:fldCharType="separate"/>
      </w:r>
      <w:r w:rsidR="00E43144">
        <w:t xml:space="preserve">Figure </w:t>
      </w:r>
      <w:r w:rsidR="00E43144">
        <w:rPr>
          <w:noProof/>
        </w:rPr>
        <w:t>2</w:t>
      </w:r>
      <w:r>
        <w:fldChar w:fldCharType="end"/>
      </w:r>
      <w:r>
        <w:t xml:space="preserve"> below). The total score for a dimension is calculated based on the average of the score for each sub dimension. In the case of mandate as there is only one dimension, it is just that score that applies.</w:t>
      </w:r>
    </w:p>
    <w:p w14:paraId="1B267EFC" w14:textId="77777777" w:rsidR="003D70B5" w:rsidRDefault="006D3EBA" w:rsidP="003D70B5">
      <w:pPr>
        <w:pStyle w:val="BodyText"/>
        <w:ind w:left="0"/>
      </w:pPr>
      <w:r w:rsidRPr="009C48AF">
        <w:rPr>
          <w:noProof/>
        </w:rPr>
        <w:drawing>
          <wp:inline distT="0" distB="0" distL="0" distR="0" wp14:anchorId="05AB8116" wp14:editId="1F83ED7B">
            <wp:extent cx="6486525" cy="14859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43822" t="16699" r="15616" b="57402"/>
                    <a:stretch>
                      <a:fillRect/>
                    </a:stretch>
                  </pic:blipFill>
                  <pic:spPr bwMode="auto">
                    <a:xfrm>
                      <a:off x="0" y="0"/>
                      <a:ext cx="6486525" cy="1485900"/>
                    </a:xfrm>
                    <a:prstGeom prst="rect">
                      <a:avLst/>
                    </a:prstGeom>
                    <a:noFill/>
                    <a:ln>
                      <a:noFill/>
                    </a:ln>
                  </pic:spPr>
                </pic:pic>
              </a:graphicData>
            </a:graphic>
          </wp:inline>
        </w:drawing>
      </w:r>
    </w:p>
    <w:p w14:paraId="2EE25B12" w14:textId="77777777" w:rsidR="003D70B5" w:rsidRDefault="003D70B5" w:rsidP="003D70B5">
      <w:pPr>
        <w:pStyle w:val="Caption"/>
        <w:ind w:left="0"/>
        <w:jc w:val="center"/>
      </w:pPr>
      <w:bookmarkStart w:id="15" w:name="_Ref311633787"/>
      <w:bookmarkStart w:id="16" w:name="_Toc313613533"/>
      <w:bookmarkStart w:id="17" w:name="_Toc354571109"/>
      <w:r>
        <w:t xml:space="preserve">Figure </w:t>
      </w:r>
      <w:fldSimple w:instr=" SEQ Figure \* ARABIC ">
        <w:r w:rsidR="00E43144">
          <w:rPr>
            <w:noProof/>
          </w:rPr>
          <w:t>2</w:t>
        </w:r>
      </w:fldSimple>
      <w:bookmarkEnd w:id="15"/>
      <w:r>
        <w:t xml:space="preserve"> Excerpt from assessment worksheet</w:t>
      </w:r>
      <w:bookmarkEnd w:id="16"/>
      <w:bookmarkEnd w:id="17"/>
    </w:p>
    <w:p w14:paraId="3CCC8CFE" w14:textId="77777777" w:rsidR="003D70B5" w:rsidRDefault="003D70B5" w:rsidP="003D70B5">
      <w:pPr>
        <w:pStyle w:val="BodyText"/>
      </w:pPr>
      <w:r>
        <w:t xml:space="preserve">The total score for each attractiveness dimension and each achievability dimension is then averaged out to calculate an overall 0-5 score for attractiveness and achievability. </w:t>
      </w:r>
    </w:p>
    <w:p w14:paraId="0E49C2BE" w14:textId="77777777" w:rsidR="00653A37" w:rsidRDefault="003D70B5" w:rsidP="00831408">
      <w:pPr>
        <w:pStyle w:val="Heading2"/>
      </w:pPr>
      <w:bookmarkStart w:id="18" w:name="_Toc354571105"/>
      <w:r>
        <w:t>Priority grid worksheet</w:t>
      </w:r>
      <w:bookmarkEnd w:id="18"/>
    </w:p>
    <w:p w14:paraId="3EC0BE07" w14:textId="77777777" w:rsidR="003D70B5" w:rsidRDefault="003D70B5" w:rsidP="003D70B5">
      <w:pPr>
        <w:pStyle w:val="BodyText"/>
      </w:pPr>
      <w:bookmarkStart w:id="19" w:name="_Toc216778013"/>
      <w:r>
        <w:t xml:space="preserve">The priority grid worksheet demonstrates that four possible priority actions can be derived by plotting the X and Y combination of attractiveness and achievability (see also </w:t>
      </w:r>
      <w:r>
        <w:fldChar w:fldCharType="begin"/>
      </w:r>
      <w:r>
        <w:instrText xml:space="preserve"> REF _Ref311633865 \h </w:instrText>
      </w:r>
      <w:r>
        <w:fldChar w:fldCharType="separate"/>
      </w:r>
      <w:r w:rsidR="00E43144">
        <w:t xml:space="preserve">Figure </w:t>
      </w:r>
      <w:r w:rsidR="00E43144">
        <w:rPr>
          <w:noProof/>
        </w:rPr>
        <w:t>3</w:t>
      </w:r>
      <w:r>
        <w:fldChar w:fldCharType="end"/>
      </w:r>
      <w:r>
        <w:t xml:space="preserve"> </w:t>
      </w:r>
      <w:r w:rsidR="00B31E85">
        <w:t>on page 7</w:t>
      </w:r>
      <w:r>
        <w:t>). This can be a useful way of presenting prioritised policies graphically.</w:t>
      </w:r>
    </w:p>
    <w:bookmarkEnd w:id="19"/>
    <w:p w14:paraId="0346E591" w14:textId="77777777" w:rsidR="003D70B5" w:rsidRPr="00CD799B" w:rsidRDefault="003D70B5" w:rsidP="003D70B5">
      <w:pPr>
        <w:pStyle w:val="BodyText"/>
        <w:keepNext/>
        <w:ind w:left="0"/>
        <w:jc w:val="center"/>
        <w:rPr>
          <w:b/>
        </w:rPr>
      </w:pPr>
      <w:r w:rsidRPr="00CD799B">
        <w:rPr>
          <w:b/>
        </w:rPr>
        <w:lastRenderedPageBreak/>
        <w:t>Priority</w:t>
      </w:r>
      <w:r>
        <w:rPr>
          <w:b/>
        </w:rPr>
        <w:t xml:space="preserve"> grid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1" w:type="dxa"/>
        </w:tblCellMar>
        <w:tblLook w:val="01E0" w:firstRow="1" w:lastRow="1" w:firstColumn="1" w:lastColumn="1" w:noHBand="0" w:noVBand="0"/>
      </w:tblPr>
      <w:tblGrid>
        <w:gridCol w:w="1059"/>
        <w:gridCol w:w="3977"/>
        <w:gridCol w:w="4597"/>
      </w:tblGrid>
      <w:tr w:rsidR="003D70B5" w14:paraId="67537E83" w14:textId="77777777">
        <w:trPr>
          <w:cantSplit/>
          <w:trHeight w:val="3243"/>
        </w:trPr>
        <w:tc>
          <w:tcPr>
            <w:tcW w:w="550" w:type="pct"/>
            <w:vMerge w:val="restart"/>
            <w:tcBorders>
              <w:top w:val="nil"/>
              <w:left w:val="nil"/>
              <w:bottom w:val="nil"/>
              <w:right w:val="single" w:sz="4" w:space="0" w:color="auto"/>
              <w:tl2br w:val="nil"/>
              <w:tr2bl w:val="nil"/>
            </w:tcBorders>
            <w:shd w:val="clear" w:color="auto" w:fill="auto"/>
            <w:tcMar>
              <w:top w:w="28" w:type="dxa"/>
              <w:left w:w="85" w:type="dxa"/>
              <w:bottom w:w="28" w:type="dxa"/>
              <w:right w:w="85" w:type="dxa"/>
            </w:tcMar>
            <w:textDirection w:val="btLr"/>
          </w:tcPr>
          <w:p w14:paraId="51E1A90B" w14:textId="77777777" w:rsidR="003D70B5" w:rsidRPr="000B140E" w:rsidRDefault="003D70B5" w:rsidP="003D70B5">
            <w:pPr>
              <w:pStyle w:val="BodyText"/>
              <w:keepNext/>
              <w:numPr>
                <w:ilvl w:val="0"/>
                <w:numId w:val="18"/>
              </w:numPr>
              <w:ind w:left="113" w:right="113"/>
              <w:rPr>
                <w:b/>
              </w:rPr>
            </w:pPr>
            <w:r w:rsidRPr="00F05108">
              <w:t>Low</w:t>
            </w:r>
            <w:r w:rsidRPr="000B140E">
              <w:rPr>
                <w:b/>
              </w:rPr>
              <w:t xml:space="preserve">                                Achievability                                 </w:t>
            </w:r>
            <w:r>
              <w:rPr>
                <w:b/>
              </w:rPr>
              <w:t xml:space="preserve">      </w:t>
            </w:r>
            <w:r w:rsidRPr="000B140E">
              <w:rPr>
                <w:b/>
              </w:rPr>
              <w:t xml:space="preserve"> </w:t>
            </w:r>
            <w:r w:rsidRPr="00F05108">
              <w:t>Hig</w:t>
            </w:r>
            <w:r>
              <w:t>h</w:t>
            </w:r>
          </w:p>
        </w:tc>
        <w:tc>
          <w:tcPr>
            <w:tcW w:w="2064" w:type="pct"/>
            <w:tcBorders>
              <w:top w:val="single" w:sz="4" w:space="0" w:color="auto"/>
              <w:left w:val="single" w:sz="4" w:space="0" w:color="auto"/>
              <w:bottom w:val="single" w:sz="4" w:space="0" w:color="auto"/>
              <w:right w:val="single" w:sz="4" w:space="0" w:color="auto"/>
              <w:tl2br w:val="nil"/>
              <w:tr2bl w:val="nil"/>
            </w:tcBorders>
            <w:shd w:val="clear" w:color="auto" w:fill="FF9900"/>
            <w:tcMar>
              <w:top w:w="28" w:type="dxa"/>
              <w:left w:w="85" w:type="dxa"/>
              <w:bottom w:w="28" w:type="dxa"/>
              <w:right w:w="85" w:type="dxa"/>
            </w:tcMar>
          </w:tcPr>
          <w:p w14:paraId="591EDBC5" w14:textId="77777777" w:rsidR="003D70B5" w:rsidRPr="000B140E" w:rsidRDefault="003D70B5" w:rsidP="003D70B5">
            <w:pPr>
              <w:pStyle w:val="BodyText"/>
              <w:keepNext/>
              <w:numPr>
                <w:ilvl w:val="0"/>
                <w:numId w:val="18"/>
              </w:numPr>
              <w:ind w:left="0"/>
              <w:rPr>
                <w:b/>
              </w:rPr>
            </w:pPr>
            <w:r w:rsidRPr="000B140E">
              <w:rPr>
                <w:b/>
              </w:rPr>
              <w:t>Delay</w:t>
            </w:r>
          </w:p>
          <w:p w14:paraId="0FE1FE12" w14:textId="77777777" w:rsidR="003D70B5" w:rsidRPr="000B140E" w:rsidRDefault="003D70B5" w:rsidP="003D70B5">
            <w:pPr>
              <w:pStyle w:val="BodyText"/>
              <w:keepNext/>
              <w:numPr>
                <w:ilvl w:val="0"/>
                <w:numId w:val="18"/>
              </w:numPr>
              <w:ind w:left="0"/>
              <w:rPr>
                <w:i/>
              </w:rPr>
            </w:pPr>
            <w:r w:rsidRPr="000B140E">
              <w:rPr>
                <w:i/>
              </w:rPr>
              <w:t>Low attractiveness (&lt;2.5) and high achievability (&gt; 2.5)</w:t>
            </w:r>
          </w:p>
          <w:p w14:paraId="6BDCA26C" w14:textId="77777777" w:rsidR="003D70B5" w:rsidRDefault="003D70B5" w:rsidP="003D70B5">
            <w:pPr>
              <w:pStyle w:val="BodyText"/>
              <w:keepNext/>
              <w:ind w:left="0"/>
            </w:pPr>
            <w:r>
              <w:t>The department should implement these policies third. Whilst at first glance these QGEA policies appear easy to implement, they offer less benefits to the department or Queensland Government than those policies that fall within the commit or manage closely quadrants.</w:t>
            </w:r>
          </w:p>
        </w:tc>
        <w:tc>
          <w:tcPr>
            <w:tcW w:w="2386" w:type="pct"/>
            <w:tcBorders>
              <w:top w:val="single" w:sz="4" w:space="0" w:color="auto"/>
              <w:left w:val="single" w:sz="4" w:space="0" w:color="auto"/>
              <w:bottom w:val="single" w:sz="4" w:space="0" w:color="auto"/>
              <w:right w:val="single" w:sz="4" w:space="0" w:color="auto"/>
              <w:tl2br w:val="nil"/>
              <w:tr2bl w:val="nil"/>
            </w:tcBorders>
            <w:shd w:val="clear" w:color="auto" w:fill="339966"/>
            <w:tcMar>
              <w:top w:w="28" w:type="dxa"/>
              <w:left w:w="85" w:type="dxa"/>
              <w:bottom w:w="28" w:type="dxa"/>
              <w:right w:w="85" w:type="dxa"/>
            </w:tcMar>
          </w:tcPr>
          <w:p w14:paraId="0A4FF7AF" w14:textId="77777777" w:rsidR="003D70B5" w:rsidRPr="000B140E" w:rsidRDefault="003D70B5" w:rsidP="003D70B5">
            <w:pPr>
              <w:pStyle w:val="BodyText"/>
              <w:keepNext/>
              <w:numPr>
                <w:ilvl w:val="0"/>
                <w:numId w:val="18"/>
              </w:numPr>
              <w:ind w:left="0"/>
              <w:rPr>
                <w:b/>
              </w:rPr>
            </w:pPr>
            <w:r w:rsidRPr="000B140E">
              <w:rPr>
                <w:b/>
              </w:rPr>
              <w:t>Commit</w:t>
            </w:r>
          </w:p>
          <w:p w14:paraId="38DD9E29" w14:textId="77777777" w:rsidR="003D70B5" w:rsidRPr="000B140E" w:rsidRDefault="003D70B5" w:rsidP="003D70B5">
            <w:pPr>
              <w:pStyle w:val="BodyText"/>
              <w:keepNext/>
              <w:numPr>
                <w:ilvl w:val="0"/>
                <w:numId w:val="18"/>
              </w:numPr>
              <w:ind w:left="0"/>
              <w:rPr>
                <w:i/>
              </w:rPr>
            </w:pPr>
            <w:r w:rsidRPr="000B140E">
              <w:rPr>
                <w:i/>
              </w:rPr>
              <w:t>High attractiveness (&gt;2.5) and high achievability (&gt; 2.5)</w:t>
            </w:r>
          </w:p>
          <w:p w14:paraId="29095D78" w14:textId="77777777" w:rsidR="003D70B5" w:rsidRDefault="003D70B5" w:rsidP="003D70B5">
            <w:pPr>
              <w:pStyle w:val="BodyText"/>
              <w:keepNext/>
              <w:numPr>
                <w:ilvl w:val="0"/>
                <w:numId w:val="18"/>
              </w:numPr>
              <w:tabs>
                <w:tab w:val="left" w:pos="1594"/>
              </w:tabs>
              <w:ind w:left="0"/>
            </w:pPr>
            <w:r>
              <w:t>The department should implement these QGEA policies first. They represent quick wins and deliver compliance with those QGEA policies with strong mandates and benefits, but that require lower implementation effort.</w:t>
            </w:r>
          </w:p>
        </w:tc>
      </w:tr>
      <w:tr w:rsidR="003D70B5" w14:paraId="759BFA8F" w14:textId="77777777">
        <w:trPr>
          <w:cantSplit/>
        </w:trPr>
        <w:tc>
          <w:tcPr>
            <w:tcW w:w="550" w:type="pct"/>
            <w:vMerge/>
            <w:tcBorders>
              <w:top w:val="nil"/>
              <w:left w:val="nil"/>
              <w:bottom w:val="nil"/>
              <w:right w:val="single" w:sz="4" w:space="0" w:color="auto"/>
            </w:tcBorders>
            <w:shd w:val="clear" w:color="auto" w:fill="auto"/>
            <w:tcMar>
              <w:top w:w="28" w:type="dxa"/>
              <w:left w:w="85" w:type="dxa"/>
              <w:bottom w:w="28" w:type="dxa"/>
              <w:right w:w="85" w:type="dxa"/>
            </w:tcMar>
          </w:tcPr>
          <w:p w14:paraId="09295118" w14:textId="77777777" w:rsidR="003D70B5" w:rsidRPr="000B140E" w:rsidRDefault="003D70B5" w:rsidP="003D70B5">
            <w:pPr>
              <w:pStyle w:val="BodyText"/>
              <w:keepNext/>
              <w:numPr>
                <w:ilvl w:val="0"/>
                <w:numId w:val="18"/>
              </w:numPr>
              <w:ind w:left="0"/>
              <w:rPr>
                <w:b/>
              </w:rPr>
            </w:pPr>
          </w:p>
        </w:tc>
        <w:tc>
          <w:tcPr>
            <w:tcW w:w="2064" w:type="pct"/>
            <w:tcBorders>
              <w:left w:val="single" w:sz="4" w:space="0" w:color="auto"/>
            </w:tcBorders>
            <w:shd w:val="clear" w:color="auto" w:fill="FF0000"/>
            <w:tcMar>
              <w:top w:w="28" w:type="dxa"/>
              <w:left w:w="85" w:type="dxa"/>
              <w:bottom w:w="28" w:type="dxa"/>
              <w:right w:w="85" w:type="dxa"/>
            </w:tcMar>
          </w:tcPr>
          <w:p w14:paraId="1118AF9B" w14:textId="77777777" w:rsidR="003D70B5" w:rsidRPr="000B140E" w:rsidRDefault="003D70B5" w:rsidP="003D70B5">
            <w:pPr>
              <w:pStyle w:val="BodyText"/>
              <w:keepNext/>
              <w:numPr>
                <w:ilvl w:val="0"/>
                <w:numId w:val="18"/>
              </w:numPr>
              <w:ind w:left="0"/>
              <w:rPr>
                <w:b/>
              </w:rPr>
            </w:pPr>
            <w:r w:rsidRPr="000B140E">
              <w:rPr>
                <w:b/>
              </w:rPr>
              <w:t>Hold</w:t>
            </w:r>
            <w:bookmarkStart w:id="20" w:name="_Ref313613335"/>
            <w:r>
              <w:rPr>
                <w:rStyle w:val="FootnoteReference"/>
                <w:b/>
              </w:rPr>
              <w:footnoteReference w:id="2"/>
            </w:r>
            <w:bookmarkEnd w:id="20"/>
          </w:p>
          <w:p w14:paraId="7B159563" w14:textId="77777777" w:rsidR="003D70B5" w:rsidRPr="000B140E" w:rsidRDefault="003D70B5" w:rsidP="003D70B5">
            <w:pPr>
              <w:pStyle w:val="BodyText"/>
              <w:keepNext/>
              <w:numPr>
                <w:ilvl w:val="0"/>
                <w:numId w:val="18"/>
              </w:numPr>
              <w:ind w:left="0"/>
              <w:rPr>
                <w:i/>
              </w:rPr>
            </w:pPr>
            <w:r w:rsidRPr="000B140E">
              <w:rPr>
                <w:i/>
              </w:rPr>
              <w:t>Low attractiveness (&lt;2.5) and low achievability (&lt;2.5)</w:t>
            </w:r>
          </w:p>
          <w:p w14:paraId="0610ED21" w14:textId="77777777" w:rsidR="003D70B5" w:rsidRDefault="003D70B5" w:rsidP="003D70B5">
            <w:pPr>
              <w:pStyle w:val="BodyText"/>
              <w:keepNext/>
              <w:ind w:left="0"/>
            </w:pPr>
            <w:r>
              <w:t>The department should implement these QGEA policies last as they currently represent greater risk for a lower return.</w:t>
            </w:r>
          </w:p>
        </w:tc>
        <w:tc>
          <w:tcPr>
            <w:tcW w:w="2386" w:type="pct"/>
            <w:shd w:val="clear" w:color="auto" w:fill="FFFF00"/>
            <w:tcMar>
              <w:top w:w="28" w:type="dxa"/>
              <w:left w:w="85" w:type="dxa"/>
              <w:bottom w:w="28" w:type="dxa"/>
              <w:right w:w="85" w:type="dxa"/>
            </w:tcMar>
          </w:tcPr>
          <w:p w14:paraId="5265CFB2" w14:textId="77777777" w:rsidR="003D70B5" w:rsidRPr="000B140E" w:rsidRDefault="003D70B5" w:rsidP="003D70B5">
            <w:pPr>
              <w:pStyle w:val="BodyText"/>
              <w:keepNext/>
              <w:numPr>
                <w:ilvl w:val="0"/>
                <w:numId w:val="18"/>
              </w:numPr>
              <w:ind w:left="0"/>
              <w:rPr>
                <w:b/>
              </w:rPr>
            </w:pPr>
            <w:r w:rsidRPr="000B140E">
              <w:rPr>
                <w:b/>
              </w:rPr>
              <w:t>Manage closely</w:t>
            </w:r>
          </w:p>
          <w:p w14:paraId="26DDCF29" w14:textId="77777777" w:rsidR="003D70B5" w:rsidRPr="000B140E" w:rsidRDefault="003D70B5" w:rsidP="003D70B5">
            <w:pPr>
              <w:pStyle w:val="BodyText"/>
              <w:keepNext/>
              <w:numPr>
                <w:ilvl w:val="0"/>
                <w:numId w:val="18"/>
              </w:numPr>
              <w:ind w:left="0"/>
              <w:rPr>
                <w:i/>
              </w:rPr>
            </w:pPr>
            <w:r w:rsidRPr="000B140E">
              <w:rPr>
                <w:i/>
              </w:rPr>
              <w:t>High attractiveness (&gt;2.5) and low achievability (&lt; 2.5)</w:t>
            </w:r>
          </w:p>
          <w:p w14:paraId="26611629" w14:textId="77777777" w:rsidR="003D70B5" w:rsidRDefault="003D70B5" w:rsidP="003D70B5">
            <w:pPr>
              <w:pStyle w:val="BodyText"/>
              <w:keepNext/>
              <w:numPr>
                <w:ilvl w:val="0"/>
                <w:numId w:val="18"/>
              </w:numPr>
              <w:ind w:left="0"/>
            </w:pPr>
            <w:r>
              <w:t>The department should implement these QGEA policies second. These QGEA policies have strong mandates and benefits however, they are more complex or require more resources. It may be necessary to introduce tighter governance and risk management mechanisms when implementing these QGEA policies.</w:t>
            </w:r>
          </w:p>
        </w:tc>
      </w:tr>
    </w:tbl>
    <w:p w14:paraId="7BE82DB7" w14:textId="77777777" w:rsidR="003D70B5" w:rsidRPr="009D3A1B" w:rsidRDefault="003D70B5" w:rsidP="003D70B5">
      <w:pPr>
        <w:pStyle w:val="Bullet-Numbered"/>
        <w:keepNext/>
        <w:numPr>
          <w:ilvl w:val="0"/>
          <w:numId w:val="0"/>
        </w:numPr>
      </w:pPr>
      <w:r w:rsidRPr="009D3A1B">
        <w:tab/>
        <w:t>Low</w:t>
      </w:r>
      <w:r w:rsidRPr="009D3A1B">
        <w:tab/>
      </w:r>
      <w:r w:rsidRPr="009D3A1B">
        <w:tab/>
      </w:r>
      <w:r w:rsidRPr="009D3A1B">
        <w:tab/>
      </w:r>
      <w:r w:rsidRPr="009D3A1B">
        <w:tab/>
      </w:r>
      <w:r w:rsidRPr="009D3A1B">
        <w:tab/>
      </w:r>
      <w:r w:rsidRPr="009D3A1B">
        <w:rPr>
          <w:b/>
        </w:rPr>
        <w:t>Attractiveness</w:t>
      </w:r>
      <w:r w:rsidRPr="009D3A1B">
        <w:rPr>
          <w:b/>
        </w:rPr>
        <w:tab/>
      </w:r>
      <w:r>
        <w:tab/>
      </w:r>
      <w:r>
        <w:tab/>
      </w:r>
      <w:r>
        <w:tab/>
      </w:r>
      <w:r w:rsidRPr="009D3A1B">
        <w:t>High</w:t>
      </w:r>
    </w:p>
    <w:p w14:paraId="152EC9BB" w14:textId="77777777" w:rsidR="003D70B5" w:rsidRPr="009D3A1B" w:rsidRDefault="003D70B5" w:rsidP="003D70B5">
      <w:pPr>
        <w:pStyle w:val="Caption"/>
        <w:keepNext/>
        <w:ind w:left="0"/>
        <w:jc w:val="center"/>
        <w:rPr>
          <w:highlight w:val="yellow"/>
        </w:rPr>
      </w:pPr>
      <w:bookmarkStart w:id="21" w:name="_Ref311633865"/>
      <w:bookmarkStart w:id="22" w:name="_Toc313613534"/>
      <w:bookmarkStart w:id="23" w:name="_Toc354571110"/>
      <w:r>
        <w:t xml:space="preserve">Figure </w:t>
      </w:r>
      <w:fldSimple w:instr=" SEQ Figure \* ARABIC ">
        <w:r w:rsidR="00E43144">
          <w:rPr>
            <w:noProof/>
          </w:rPr>
          <w:t>3</w:t>
        </w:r>
      </w:fldSimple>
      <w:bookmarkEnd w:id="21"/>
      <w:r>
        <w:t xml:space="preserve"> Priority grid</w:t>
      </w:r>
      <w:bookmarkEnd w:id="22"/>
      <w:bookmarkEnd w:id="23"/>
    </w:p>
    <w:p w14:paraId="3EFDD556" w14:textId="77777777" w:rsidR="003D70B5" w:rsidRDefault="003D70B5" w:rsidP="003D70B5">
      <w:pPr>
        <w:pStyle w:val="Heading2"/>
      </w:pPr>
      <w:bookmarkStart w:id="24" w:name="_Toc313613530"/>
      <w:bookmarkStart w:id="25" w:name="_Toc354571106"/>
      <w:r>
        <w:t>Ranking worksheet</w:t>
      </w:r>
      <w:bookmarkEnd w:id="24"/>
      <w:bookmarkEnd w:id="25"/>
    </w:p>
    <w:p w14:paraId="2AEE2C3F" w14:textId="77777777" w:rsidR="003D70B5" w:rsidRDefault="003D70B5" w:rsidP="003D70B5">
      <w:pPr>
        <w:pStyle w:val="BodyText"/>
        <w:rPr>
          <w:lang w:eastAsia="en-US"/>
        </w:rPr>
      </w:pPr>
      <w:r>
        <w:rPr>
          <w:lang w:eastAsia="en-US"/>
        </w:rPr>
        <w:t>The ranking worksheet demonstrates how the attractiveness and achievability score for each policy can be used to derive an overall ranking score for each QGEA policy.</w:t>
      </w:r>
    </w:p>
    <w:p w14:paraId="0E2424DD" w14:textId="77777777" w:rsidR="003D70B5" w:rsidRPr="00AE4A18" w:rsidRDefault="003D70B5" w:rsidP="003D70B5">
      <w:pPr>
        <w:pStyle w:val="BodyText"/>
        <w:rPr>
          <w:lang w:eastAsia="en-US"/>
        </w:rPr>
      </w:pPr>
      <w:r w:rsidRPr="00AE5D90">
        <w:rPr>
          <w:rFonts w:cs="Arial"/>
          <w:szCs w:val="22"/>
        </w:rPr>
        <w:t>The rankings are calculated using a mathematical formula</w:t>
      </w:r>
      <w:r w:rsidRPr="00AE5D90">
        <w:rPr>
          <w:rStyle w:val="FootnoteReference"/>
          <w:rFonts w:cs="Arial"/>
          <w:szCs w:val="22"/>
        </w:rPr>
        <w:footnoteReference w:id="3"/>
      </w:r>
      <w:r w:rsidRPr="00AE5D90">
        <w:rPr>
          <w:rFonts w:cs="Arial"/>
          <w:szCs w:val="22"/>
        </w:rPr>
        <w:t xml:space="preserve"> to calculate a linear distance along the diagonal f</w:t>
      </w:r>
      <w:r>
        <w:rPr>
          <w:rFonts w:cs="Arial"/>
          <w:szCs w:val="22"/>
        </w:rPr>
        <w:t>rom the optimum score of 5 for attractiveness and 5 for a</w:t>
      </w:r>
      <w:r w:rsidRPr="00AE5D90">
        <w:rPr>
          <w:rFonts w:cs="Arial"/>
          <w:szCs w:val="22"/>
        </w:rPr>
        <w:t>chieva</w:t>
      </w:r>
      <w:r>
        <w:rPr>
          <w:rFonts w:cs="Arial"/>
          <w:szCs w:val="22"/>
        </w:rPr>
        <w:t>bility to zero on the priority g</w:t>
      </w:r>
      <w:r w:rsidRPr="00AE5D90">
        <w:rPr>
          <w:rFonts w:cs="Arial"/>
          <w:szCs w:val="22"/>
        </w:rPr>
        <w:t>rid model</w:t>
      </w:r>
      <w:r>
        <w:rPr>
          <w:rFonts w:cs="Arial"/>
          <w:szCs w:val="22"/>
        </w:rPr>
        <w:t xml:space="preserve"> (see </w:t>
      </w:r>
      <w:r>
        <w:rPr>
          <w:rFonts w:cs="Arial"/>
          <w:szCs w:val="22"/>
        </w:rPr>
        <w:fldChar w:fldCharType="begin"/>
      </w:r>
      <w:r>
        <w:rPr>
          <w:rFonts w:cs="Arial"/>
          <w:szCs w:val="22"/>
        </w:rPr>
        <w:instrText xml:space="preserve"> REF _Ref311633865 \h </w:instrText>
      </w:r>
      <w:r>
        <w:rPr>
          <w:rFonts w:cs="Arial"/>
          <w:szCs w:val="22"/>
        </w:rPr>
      </w:r>
      <w:r>
        <w:rPr>
          <w:rFonts w:cs="Arial"/>
          <w:szCs w:val="22"/>
        </w:rPr>
        <w:fldChar w:fldCharType="separate"/>
      </w:r>
      <w:r w:rsidR="00E43144">
        <w:t xml:space="preserve">Figure </w:t>
      </w:r>
      <w:r w:rsidR="00E43144">
        <w:rPr>
          <w:noProof/>
        </w:rPr>
        <w:t>3</w:t>
      </w:r>
      <w:r>
        <w:rPr>
          <w:rFonts w:cs="Arial"/>
          <w:szCs w:val="22"/>
        </w:rPr>
        <w:fldChar w:fldCharType="end"/>
      </w:r>
      <w:r>
        <w:rPr>
          <w:rFonts w:cs="Arial"/>
          <w:szCs w:val="22"/>
        </w:rPr>
        <w:t xml:space="preserve"> above). </w:t>
      </w:r>
    </w:p>
    <w:p w14:paraId="1BA6D9B3" w14:textId="77777777" w:rsidR="003D70B5" w:rsidRPr="00AE4A18" w:rsidRDefault="003D70B5" w:rsidP="003D70B5">
      <w:pPr>
        <w:pStyle w:val="BodyText"/>
        <w:rPr>
          <w:lang w:eastAsia="en-US"/>
        </w:rPr>
      </w:pPr>
      <w:r>
        <w:rPr>
          <w:rFonts w:cs="Arial"/>
          <w:szCs w:val="22"/>
        </w:rPr>
        <w:t>The most attractive and achievable policies to implement will have a lower ranking score, indicating a possible sequence for implementation.</w:t>
      </w:r>
    </w:p>
    <w:p w14:paraId="6AFA7055" w14:textId="77777777" w:rsidR="003D70B5" w:rsidRDefault="003D70B5" w:rsidP="003D70B5">
      <w:pPr>
        <w:pStyle w:val="BodyText"/>
        <w:ind w:left="0"/>
        <w:rPr>
          <w:lang w:eastAsia="en-US"/>
        </w:rPr>
      </w:pPr>
    </w:p>
    <w:p w14:paraId="24B45196" w14:textId="77777777" w:rsidR="003E735F" w:rsidRPr="003E735F" w:rsidRDefault="003E735F" w:rsidP="006517B2">
      <w:pPr>
        <w:pStyle w:val="BodyText"/>
      </w:pPr>
    </w:p>
    <w:p w14:paraId="34AA9FC4" w14:textId="77777777" w:rsidR="003E735F" w:rsidRDefault="003E735F" w:rsidP="006517B2">
      <w:pPr>
        <w:pStyle w:val="BodyText"/>
      </w:pPr>
    </w:p>
    <w:p w14:paraId="10BFE57E" w14:textId="77777777" w:rsidR="00B12296" w:rsidRPr="003E735F" w:rsidRDefault="00B12296" w:rsidP="00B12296">
      <w:pPr>
        <w:pStyle w:val="Appendixlvl3"/>
        <w:numPr>
          <w:ilvl w:val="0"/>
          <w:numId w:val="0"/>
        </w:numPr>
      </w:pPr>
    </w:p>
    <w:tbl>
      <w:tblPr>
        <w:tblW w:w="5000" w:type="pct"/>
        <w:tblLayout w:type="fixed"/>
        <w:tblLook w:val="0000" w:firstRow="0" w:lastRow="0" w:firstColumn="0" w:lastColumn="0" w:noHBand="0" w:noVBand="0"/>
      </w:tblPr>
      <w:tblGrid>
        <w:gridCol w:w="1767"/>
        <w:gridCol w:w="1940"/>
        <w:gridCol w:w="1785"/>
        <w:gridCol w:w="1816"/>
        <w:gridCol w:w="2320"/>
      </w:tblGrid>
      <w:tr w:rsidR="004D2863" w14:paraId="49ACA6D4" w14:textId="77777777">
        <w:trPr>
          <w:cantSplit/>
          <w:trHeight w:val="234"/>
        </w:trPr>
        <w:tc>
          <w:tcPr>
            <w:tcW w:w="917" w:type="pct"/>
            <w:tcBorders>
              <w:top w:val="single" w:sz="4" w:space="0" w:color="auto"/>
              <w:left w:val="single" w:sz="4" w:space="0" w:color="auto"/>
              <w:bottom w:val="single" w:sz="4" w:space="0" w:color="auto"/>
              <w:right w:val="single" w:sz="4" w:space="0" w:color="auto"/>
            </w:tcBorders>
            <w:shd w:val="clear" w:color="auto" w:fill="FFFF00"/>
            <w:noWrap/>
          </w:tcPr>
          <w:p w14:paraId="2CD3CA99" w14:textId="77777777" w:rsidR="003D70B5" w:rsidRPr="004D2863" w:rsidRDefault="003D70B5" w:rsidP="004D2863">
            <w:pPr>
              <w:keepNext/>
              <w:keepLines/>
              <w:ind w:left="142"/>
              <w:rPr>
                <w:rFonts w:cs="Arial"/>
                <w:b/>
                <w:bCs/>
                <w:sz w:val="20"/>
              </w:rPr>
            </w:pPr>
            <w:r w:rsidRPr="004D2863">
              <w:rPr>
                <w:rFonts w:cs="Arial"/>
                <w:b/>
                <w:bCs/>
                <w:sz w:val="20"/>
              </w:rPr>
              <w:t>Initiative</w:t>
            </w:r>
          </w:p>
        </w:tc>
        <w:tc>
          <w:tcPr>
            <w:tcW w:w="1007" w:type="pct"/>
            <w:tcBorders>
              <w:top w:val="single" w:sz="4" w:space="0" w:color="auto"/>
              <w:left w:val="nil"/>
              <w:bottom w:val="single" w:sz="4" w:space="0" w:color="auto"/>
              <w:right w:val="single" w:sz="4" w:space="0" w:color="auto"/>
            </w:tcBorders>
            <w:shd w:val="clear" w:color="auto" w:fill="FFFF00"/>
            <w:noWrap/>
          </w:tcPr>
          <w:p w14:paraId="54100F6C" w14:textId="77777777" w:rsidR="003D70B5" w:rsidRPr="004D2863" w:rsidRDefault="003D70B5" w:rsidP="004D2863">
            <w:pPr>
              <w:keepNext/>
              <w:keepLines/>
              <w:ind w:left="142"/>
              <w:rPr>
                <w:rFonts w:cs="Arial"/>
                <w:b/>
                <w:bCs/>
                <w:sz w:val="20"/>
              </w:rPr>
            </w:pPr>
            <w:r w:rsidRPr="004D2863">
              <w:rPr>
                <w:rFonts w:cs="Arial"/>
                <w:b/>
                <w:bCs/>
                <w:sz w:val="20"/>
              </w:rPr>
              <w:t>Attractiveness</w:t>
            </w:r>
          </w:p>
        </w:tc>
        <w:tc>
          <w:tcPr>
            <w:tcW w:w="927" w:type="pct"/>
            <w:tcBorders>
              <w:top w:val="single" w:sz="4" w:space="0" w:color="auto"/>
              <w:left w:val="nil"/>
              <w:bottom w:val="single" w:sz="4" w:space="0" w:color="auto"/>
              <w:right w:val="single" w:sz="4" w:space="0" w:color="auto"/>
            </w:tcBorders>
            <w:shd w:val="clear" w:color="auto" w:fill="FFFF00"/>
            <w:noWrap/>
          </w:tcPr>
          <w:p w14:paraId="072C72C9" w14:textId="77777777" w:rsidR="003D70B5" w:rsidRPr="004D2863" w:rsidRDefault="003D70B5" w:rsidP="004D2863">
            <w:pPr>
              <w:keepNext/>
              <w:keepLines/>
              <w:ind w:left="142"/>
              <w:rPr>
                <w:rFonts w:cs="Arial"/>
                <w:b/>
                <w:bCs/>
                <w:sz w:val="20"/>
              </w:rPr>
            </w:pPr>
            <w:r w:rsidRPr="004D2863">
              <w:rPr>
                <w:rFonts w:cs="Arial"/>
                <w:b/>
                <w:bCs/>
                <w:sz w:val="20"/>
              </w:rPr>
              <w:t>Achievability</w:t>
            </w:r>
          </w:p>
        </w:tc>
        <w:tc>
          <w:tcPr>
            <w:tcW w:w="943" w:type="pct"/>
            <w:tcBorders>
              <w:top w:val="single" w:sz="4" w:space="0" w:color="auto"/>
              <w:left w:val="nil"/>
              <w:bottom w:val="single" w:sz="4" w:space="0" w:color="auto"/>
              <w:right w:val="single" w:sz="4" w:space="0" w:color="auto"/>
            </w:tcBorders>
            <w:shd w:val="clear" w:color="auto" w:fill="FFFF00"/>
            <w:noWrap/>
          </w:tcPr>
          <w:p w14:paraId="4F3C469C" w14:textId="77777777" w:rsidR="003D70B5" w:rsidRPr="004D2863" w:rsidRDefault="003D70B5" w:rsidP="004D2863">
            <w:pPr>
              <w:keepNext/>
              <w:keepLines/>
              <w:ind w:left="142"/>
              <w:rPr>
                <w:rFonts w:cs="Arial"/>
                <w:b/>
                <w:bCs/>
                <w:sz w:val="20"/>
              </w:rPr>
            </w:pPr>
            <w:r w:rsidRPr="004D2863">
              <w:rPr>
                <w:rFonts w:cs="Arial"/>
                <w:b/>
                <w:bCs/>
                <w:sz w:val="20"/>
              </w:rPr>
              <w:t>Ranking score</w:t>
            </w:r>
          </w:p>
        </w:tc>
        <w:tc>
          <w:tcPr>
            <w:tcW w:w="1205" w:type="pct"/>
            <w:tcBorders>
              <w:top w:val="single" w:sz="4" w:space="0" w:color="auto"/>
              <w:left w:val="nil"/>
              <w:bottom w:val="single" w:sz="4" w:space="0" w:color="auto"/>
              <w:right w:val="single" w:sz="4" w:space="0" w:color="auto"/>
            </w:tcBorders>
            <w:shd w:val="clear" w:color="auto" w:fill="FFFF00"/>
            <w:noWrap/>
          </w:tcPr>
          <w:p w14:paraId="566DB459" w14:textId="77777777" w:rsidR="003D70B5" w:rsidRPr="004D2863" w:rsidRDefault="003D70B5" w:rsidP="004D2863">
            <w:pPr>
              <w:keepNext/>
              <w:keepLines/>
              <w:ind w:left="142"/>
              <w:rPr>
                <w:rFonts w:cs="Arial"/>
                <w:b/>
                <w:bCs/>
                <w:sz w:val="20"/>
              </w:rPr>
            </w:pPr>
            <w:r w:rsidRPr="004D2863">
              <w:rPr>
                <w:rFonts w:cs="Arial"/>
                <w:b/>
                <w:bCs/>
                <w:sz w:val="20"/>
              </w:rPr>
              <w:t>Priority action</w:t>
            </w:r>
          </w:p>
        </w:tc>
      </w:tr>
      <w:tr w:rsidR="004D2863" w14:paraId="5EBA8726"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7F88ED73" w14:textId="77777777" w:rsidR="003D70B5" w:rsidRPr="004D2863" w:rsidRDefault="003D70B5" w:rsidP="004D2863">
            <w:pPr>
              <w:keepNext/>
              <w:keepLines/>
              <w:ind w:left="0"/>
              <w:rPr>
                <w:rFonts w:cs="Arial"/>
                <w:i/>
                <w:iCs/>
                <w:sz w:val="20"/>
              </w:rPr>
            </w:pPr>
            <w:r w:rsidRPr="004D2863">
              <w:rPr>
                <w:rFonts w:cs="Arial"/>
                <w:i/>
                <w:iCs/>
                <w:sz w:val="20"/>
              </w:rPr>
              <w:t>Policy A</w:t>
            </w:r>
          </w:p>
        </w:tc>
        <w:tc>
          <w:tcPr>
            <w:tcW w:w="1007" w:type="pct"/>
            <w:tcBorders>
              <w:top w:val="nil"/>
              <w:left w:val="nil"/>
              <w:bottom w:val="single" w:sz="4" w:space="0" w:color="auto"/>
              <w:right w:val="single" w:sz="4" w:space="0" w:color="auto"/>
            </w:tcBorders>
            <w:shd w:val="clear" w:color="auto" w:fill="CCFFFF"/>
            <w:noWrap/>
          </w:tcPr>
          <w:p w14:paraId="430A5E32" w14:textId="77777777" w:rsidR="003D70B5" w:rsidRPr="004D2863" w:rsidRDefault="003D70B5" w:rsidP="004D2863">
            <w:pPr>
              <w:keepNext/>
              <w:keepLines/>
              <w:jc w:val="right"/>
              <w:rPr>
                <w:rFonts w:cs="Arial"/>
                <w:sz w:val="20"/>
              </w:rPr>
            </w:pPr>
            <w:r w:rsidRPr="004D2863">
              <w:rPr>
                <w:rFonts w:cs="Arial"/>
                <w:sz w:val="20"/>
              </w:rPr>
              <w:t>5.00</w:t>
            </w:r>
          </w:p>
        </w:tc>
        <w:tc>
          <w:tcPr>
            <w:tcW w:w="927" w:type="pct"/>
            <w:tcBorders>
              <w:top w:val="nil"/>
              <w:left w:val="nil"/>
              <w:bottom w:val="single" w:sz="4" w:space="0" w:color="auto"/>
              <w:right w:val="single" w:sz="4" w:space="0" w:color="auto"/>
            </w:tcBorders>
            <w:shd w:val="clear" w:color="auto" w:fill="CCFFFF"/>
            <w:noWrap/>
          </w:tcPr>
          <w:p w14:paraId="7FCC8318" w14:textId="77777777" w:rsidR="003D70B5" w:rsidRPr="004D2863" w:rsidRDefault="003D70B5" w:rsidP="004D2863">
            <w:pPr>
              <w:keepNext/>
              <w:keepLines/>
              <w:jc w:val="right"/>
              <w:rPr>
                <w:rFonts w:cs="Arial"/>
                <w:sz w:val="20"/>
              </w:rPr>
            </w:pPr>
            <w:r w:rsidRPr="004D2863">
              <w:rPr>
                <w:rFonts w:cs="Arial"/>
                <w:sz w:val="20"/>
              </w:rPr>
              <w:t>4.00</w:t>
            </w:r>
          </w:p>
        </w:tc>
        <w:tc>
          <w:tcPr>
            <w:tcW w:w="943" w:type="pct"/>
            <w:tcBorders>
              <w:top w:val="nil"/>
              <w:left w:val="nil"/>
              <w:bottom w:val="single" w:sz="4" w:space="0" w:color="auto"/>
              <w:right w:val="single" w:sz="4" w:space="0" w:color="auto"/>
            </w:tcBorders>
            <w:shd w:val="clear" w:color="auto" w:fill="auto"/>
            <w:noWrap/>
          </w:tcPr>
          <w:p w14:paraId="63CE353D" w14:textId="77777777" w:rsidR="003D70B5" w:rsidRPr="004D2863" w:rsidRDefault="003D70B5" w:rsidP="004D2863">
            <w:pPr>
              <w:keepNext/>
              <w:keepLines/>
              <w:jc w:val="right"/>
              <w:rPr>
                <w:rFonts w:cs="Arial"/>
                <w:sz w:val="20"/>
              </w:rPr>
            </w:pPr>
            <w:r w:rsidRPr="004D2863">
              <w:rPr>
                <w:rFonts w:cs="Arial"/>
                <w:sz w:val="20"/>
              </w:rPr>
              <w:t>2.24</w:t>
            </w:r>
          </w:p>
        </w:tc>
        <w:tc>
          <w:tcPr>
            <w:tcW w:w="1205" w:type="pct"/>
            <w:tcBorders>
              <w:top w:val="nil"/>
              <w:left w:val="nil"/>
              <w:bottom w:val="single" w:sz="4" w:space="0" w:color="auto"/>
              <w:right w:val="single" w:sz="4" w:space="0" w:color="auto"/>
            </w:tcBorders>
            <w:shd w:val="clear" w:color="auto" w:fill="auto"/>
            <w:noWrap/>
          </w:tcPr>
          <w:p w14:paraId="78DD595F" w14:textId="77777777" w:rsidR="003D70B5" w:rsidRPr="004D2863" w:rsidRDefault="003D70B5" w:rsidP="004D2863">
            <w:pPr>
              <w:keepNext/>
              <w:keepLines/>
              <w:ind w:left="35"/>
              <w:rPr>
                <w:rFonts w:cs="Arial"/>
                <w:sz w:val="20"/>
              </w:rPr>
            </w:pPr>
            <w:r w:rsidRPr="004D2863">
              <w:rPr>
                <w:rFonts w:cs="Arial"/>
                <w:sz w:val="20"/>
              </w:rPr>
              <w:t>Commit</w:t>
            </w:r>
          </w:p>
        </w:tc>
      </w:tr>
      <w:tr w:rsidR="004D2863" w14:paraId="54541B72"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34DF9D8A" w14:textId="77777777" w:rsidR="003D70B5" w:rsidRPr="004D2863" w:rsidRDefault="003D70B5" w:rsidP="004D2863">
            <w:pPr>
              <w:keepNext/>
              <w:keepLines/>
              <w:ind w:left="0"/>
              <w:rPr>
                <w:rFonts w:cs="Arial"/>
                <w:i/>
                <w:iCs/>
                <w:sz w:val="20"/>
              </w:rPr>
            </w:pPr>
            <w:r w:rsidRPr="004D2863">
              <w:rPr>
                <w:rFonts w:cs="Arial"/>
                <w:i/>
                <w:iCs/>
                <w:sz w:val="20"/>
              </w:rPr>
              <w:t>Policy B</w:t>
            </w:r>
          </w:p>
        </w:tc>
        <w:tc>
          <w:tcPr>
            <w:tcW w:w="1007" w:type="pct"/>
            <w:tcBorders>
              <w:top w:val="nil"/>
              <w:left w:val="nil"/>
              <w:bottom w:val="single" w:sz="4" w:space="0" w:color="auto"/>
              <w:right w:val="single" w:sz="4" w:space="0" w:color="auto"/>
            </w:tcBorders>
            <w:shd w:val="clear" w:color="auto" w:fill="CCFFFF"/>
            <w:noWrap/>
          </w:tcPr>
          <w:p w14:paraId="01AB7DB8" w14:textId="77777777" w:rsidR="003D70B5" w:rsidRPr="004D2863" w:rsidRDefault="003D70B5" w:rsidP="004D2863">
            <w:pPr>
              <w:keepNext/>
              <w:keepLines/>
              <w:jc w:val="right"/>
              <w:rPr>
                <w:rFonts w:cs="Arial"/>
                <w:sz w:val="20"/>
              </w:rPr>
            </w:pPr>
            <w:r w:rsidRPr="004D2863">
              <w:rPr>
                <w:rFonts w:cs="Arial"/>
                <w:sz w:val="20"/>
              </w:rPr>
              <w:t>4.33</w:t>
            </w:r>
          </w:p>
        </w:tc>
        <w:tc>
          <w:tcPr>
            <w:tcW w:w="927" w:type="pct"/>
            <w:tcBorders>
              <w:top w:val="nil"/>
              <w:left w:val="nil"/>
              <w:bottom w:val="single" w:sz="4" w:space="0" w:color="auto"/>
              <w:right w:val="single" w:sz="4" w:space="0" w:color="auto"/>
            </w:tcBorders>
            <w:shd w:val="clear" w:color="auto" w:fill="CCFFFF"/>
            <w:noWrap/>
          </w:tcPr>
          <w:p w14:paraId="2B02B35E" w14:textId="77777777" w:rsidR="003D70B5" w:rsidRPr="004D2863" w:rsidRDefault="003D70B5" w:rsidP="004D2863">
            <w:pPr>
              <w:keepNext/>
              <w:keepLines/>
              <w:jc w:val="right"/>
              <w:rPr>
                <w:rFonts w:cs="Arial"/>
                <w:sz w:val="20"/>
              </w:rPr>
            </w:pPr>
            <w:r w:rsidRPr="004D2863">
              <w:rPr>
                <w:rFonts w:cs="Arial"/>
                <w:sz w:val="20"/>
              </w:rPr>
              <w:t>2.92</w:t>
            </w:r>
          </w:p>
        </w:tc>
        <w:tc>
          <w:tcPr>
            <w:tcW w:w="943" w:type="pct"/>
            <w:tcBorders>
              <w:top w:val="nil"/>
              <w:left w:val="nil"/>
              <w:bottom w:val="single" w:sz="4" w:space="0" w:color="auto"/>
              <w:right w:val="single" w:sz="4" w:space="0" w:color="auto"/>
            </w:tcBorders>
            <w:shd w:val="clear" w:color="auto" w:fill="auto"/>
            <w:noWrap/>
          </w:tcPr>
          <w:p w14:paraId="21A7E77B" w14:textId="77777777" w:rsidR="003D70B5" w:rsidRPr="004D2863" w:rsidRDefault="003D70B5" w:rsidP="004D2863">
            <w:pPr>
              <w:keepNext/>
              <w:keepLines/>
              <w:jc w:val="right"/>
              <w:rPr>
                <w:rFonts w:cs="Arial"/>
                <w:sz w:val="20"/>
              </w:rPr>
            </w:pPr>
            <w:r w:rsidRPr="004D2863">
              <w:rPr>
                <w:rFonts w:cs="Arial"/>
                <w:sz w:val="20"/>
              </w:rPr>
              <w:t>3.51</w:t>
            </w:r>
          </w:p>
        </w:tc>
        <w:tc>
          <w:tcPr>
            <w:tcW w:w="1205" w:type="pct"/>
            <w:tcBorders>
              <w:top w:val="nil"/>
              <w:left w:val="nil"/>
              <w:bottom w:val="single" w:sz="4" w:space="0" w:color="auto"/>
              <w:right w:val="single" w:sz="4" w:space="0" w:color="auto"/>
            </w:tcBorders>
            <w:shd w:val="clear" w:color="auto" w:fill="auto"/>
            <w:noWrap/>
          </w:tcPr>
          <w:p w14:paraId="41682B5B" w14:textId="77777777" w:rsidR="003D70B5" w:rsidRPr="004D2863" w:rsidRDefault="003D70B5" w:rsidP="004D2863">
            <w:pPr>
              <w:keepNext/>
              <w:keepLines/>
              <w:ind w:left="35"/>
              <w:rPr>
                <w:rFonts w:cs="Arial"/>
                <w:sz w:val="20"/>
              </w:rPr>
            </w:pPr>
            <w:r w:rsidRPr="004D2863">
              <w:rPr>
                <w:rFonts w:cs="Arial"/>
                <w:sz w:val="20"/>
              </w:rPr>
              <w:t>Commit</w:t>
            </w:r>
          </w:p>
        </w:tc>
      </w:tr>
      <w:tr w:rsidR="004D2863" w14:paraId="22B620C8"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39ADD901" w14:textId="77777777" w:rsidR="003D70B5" w:rsidRPr="004D2863" w:rsidRDefault="003D70B5" w:rsidP="004D2863">
            <w:pPr>
              <w:keepNext/>
              <w:keepLines/>
              <w:ind w:left="0"/>
              <w:rPr>
                <w:rFonts w:cs="Arial"/>
                <w:i/>
                <w:iCs/>
                <w:sz w:val="20"/>
              </w:rPr>
            </w:pPr>
            <w:r w:rsidRPr="004D2863">
              <w:rPr>
                <w:rFonts w:cs="Arial"/>
                <w:i/>
                <w:iCs/>
                <w:sz w:val="20"/>
              </w:rPr>
              <w:t>Policy C</w:t>
            </w:r>
          </w:p>
        </w:tc>
        <w:tc>
          <w:tcPr>
            <w:tcW w:w="1007" w:type="pct"/>
            <w:tcBorders>
              <w:top w:val="nil"/>
              <w:left w:val="nil"/>
              <w:bottom w:val="single" w:sz="4" w:space="0" w:color="auto"/>
              <w:right w:val="single" w:sz="4" w:space="0" w:color="auto"/>
            </w:tcBorders>
            <w:shd w:val="clear" w:color="auto" w:fill="CCFFFF"/>
            <w:noWrap/>
          </w:tcPr>
          <w:p w14:paraId="5D6AC71D" w14:textId="77777777" w:rsidR="003D70B5" w:rsidRPr="004D2863" w:rsidRDefault="003D70B5" w:rsidP="004D2863">
            <w:pPr>
              <w:keepNext/>
              <w:keepLines/>
              <w:jc w:val="right"/>
              <w:rPr>
                <w:rFonts w:cs="Arial"/>
                <w:sz w:val="20"/>
              </w:rPr>
            </w:pPr>
            <w:r w:rsidRPr="004D2863">
              <w:rPr>
                <w:rFonts w:cs="Arial"/>
                <w:sz w:val="20"/>
              </w:rPr>
              <w:t>2.33</w:t>
            </w:r>
          </w:p>
        </w:tc>
        <w:tc>
          <w:tcPr>
            <w:tcW w:w="927" w:type="pct"/>
            <w:tcBorders>
              <w:top w:val="nil"/>
              <w:left w:val="nil"/>
              <w:bottom w:val="single" w:sz="4" w:space="0" w:color="auto"/>
              <w:right w:val="single" w:sz="4" w:space="0" w:color="auto"/>
            </w:tcBorders>
            <w:shd w:val="clear" w:color="auto" w:fill="CCFFFF"/>
            <w:noWrap/>
          </w:tcPr>
          <w:p w14:paraId="646595E0" w14:textId="77777777" w:rsidR="003D70B5" w:rsidRPr="004D2863" w:rsidRDefault="003D70B5" w:rsidP="004D2863">
            <w:pPr>
              <w:keepNext/>
              <w:keepLines/>
              <w:jc w:val="right"/>
              <w:rPr>
                <w:rFonts w:cs="Arial"/>
                <w:sz w:val="20"/>
              </w:rPr>
            </w:pPr>
            <w:r w:rsidRPr="004D2863">
              <w:rPr>
                <w:rFonts w:cs="Arial"/>
                <w:sz w:val="20"/>
              </w:rPr>
              <w:t>4.13</w:t>
            </w:r>
          </w:p>
        </w:tc>
        <w:tc>
          <w:tcPr>
            <w:tcW w:w="943" w:type="pct"/>
            <w:tcBorders>
              <w:top w:val="nil"/>
              <w:left w:val="nil"/>
              <w:bottom w:val="single" w:sz="4" w:space="0" w:color="auto"/>
              <w:right w:val="single" w:sz="4" w:space="0" w:color="auto"/>
            </w:tcBorders>
            <w:shd w:val="clear" w:color="auto" w:fill="auto"/>
            <w:noWrap/>
          </w:tcPr>
          <w:p w14:paraId="28339342" w14:textId="77777777" w:rsidR="003D70B5" w:rsidRPr="004D2863" w:rsidRDefault="003D70B5" w:rsidP="004D2863">
            <w:pPr>
              <w:keepNext/>
              <w:keepLines/>
              <w:jc w:val="right"/>
              <w:rPr>
                <w:rFonts w:cs="Arial"/>
                <w:sz w:val="20"/>
              </w:rPr>
            </w:pPr>
            <w:r w:rsidRPr="004D2863">
              <w:rPr>
                <w:rFonts w:cs="Arial"/>
                <w:sz w:val="20"/>
              </w:rPr>
              <w:t>4.13</w:t>
            </w:r>
          </w:p>
        </w:tc>
        <w:tc>
          <w:tcPr>
            <w:tcW w:w="1205" w:type="pct"/>
            <w:tcBorders>
              <w:top w:val="nil"/>
              <w:left w:val="nil"/>
              <w:bottom w:val="single" w:sz="4" w:space="0" w:color="auto"/>
              <w:right w:val="single" w:sz="4" w:space="0" w:color="auto"/>
            </w:tcBorders>
            <w:shd w:val="clear" w:color="auto" w:fill="auto"/>
            <w:noWrap/>
          </w:tcPr>
          <w:p w14:paraId="5DA51F7F" w14:textId="77777777" w:rsidR="003D70B5" w:rsidRPr="004D2863" w:rsidRDefault="003D70B5" w:rsidP="004D2863">
            <w:pPr>
              <w:keepNext/>
              <w:keepLines/>
              <w:ind w:left="35"/>
              <w:rPr>
                <w:rFonts w:cs="Arial"/>
                <w:sz w:val="20"/>
              </w:rPr>
            </w:pPr>
            <w:r w:rsidRPr="004D2863">
              <w:rPr>
                <w:rFonts w:cs="Arial"/>
                <w:sz w:val="20"/>
              </w:rPr>
              <w:t>Delay</w:t>
            </w:r>
          </w:p>
        </w:tc>
      </w:tr>
      <w:tr w:rsidR="004D2863" w14:paraId="0EFFBC03"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401463BC" w14:textId="77777777" w:rsidR="003D70B5" w:rsidRPr="004D2863" w:rsidRDefault="003D70B5" w:rsidP="004D2863">
            <w:pPr>
              <w:keepNext/>
              <w:keepLines/>
              <w:ind w:left="0"/>
              <w:rPr>
                <w:rFonts w:cs="Arial"/>
                <w:i/>
                <w:iCs/>
                <w:sz w:val="20"/>
              </w:rPr>
            </w:pPr>
            <w:r w:rsidRPr="004D2863">
              <w:rPr>
                <w:rFonts w:cs="Arial"/>
                <w:i/>
                <w:iCs/>
                <w:sz w:val="20"/>
              </w:rPr>
              <w:t>Policy D</w:t>
            </w:r>
          </w:p>
        </w:tc>
        <w:tc>
          <w:tcPr>
            <w:tcW w:w="1007" w:type="pct"/>
            <w:tcBorders>
              <w:top w:val="nil"/>
              <w:left w:val="nil"/>
              <w:bottom w:val="single" w:sz="4" w:space="0" w:color="auto"/>
              <w:right w:val="single" w:sz="4" w:space="0" w:color="auto"/>
            </w:tcBorders>
            <w:shd w:val="clear" w:color="auto" w:fill="CCFFFF"/>
            <w:noWrap/>
          </w:tcPr>
          <w:p w14:paraId="6942FD49" w14:textId="77777777" w:rsidR="003D70B5" w:rsidRPr="004D2863" w:rsidRDefault="003D70B5" w:rsidP="004D2863">
            <w:pPr>
              <w:keepNext/>
              <w:keepLines/>
              <w:jc w:val="right"/>
              <w:rPr>
                <w:rFonts w:cs="Arial"/>
                <w:sz w:val="20"/>
              </w:rPr>
            </w:pPr>
            <w:r w:rsidRPr="004D2863">
              <w:rPr>
                <w:rFonts w:cs="Arial"/>
                <w:sz w:val="20"/>
              </w:rPr>
              <w:t>3.30</w:t>
            </w:r>
          </w:p>
        </w:tc>
        <w:tc>
          <w:tcPr>
            <w:tcW w:w="927" w:type="pct"/>
            <w:tcBorders>
              <w:top w:val="nil"/>
              <w:left w:val="nil"/>
              <w:bottom w:val="single" w:sz="4" w:space="0" w:color="auto"/>
              <w:right w:val="single" w:sz="4" w:space="0" w:color="auto"/>
            </w:tcBorders>
            <w:shd w:val="clear" w:color="auto" w:fill="CCFFFF"/>
            <w:noWrap/>
          </w:tcPr>
          <w:p w14:paraId="49FBB921" w14:textId="77777777" w:rsidR="003D70B5" w:rsidRPr="004D2863" w:rsidRDefault="003D70B5" w:rsidP="004D2863">
            <w:pPr>
              <w:keepNext/>
              <w:keepLines/>
              <w:jc w:val="right"/>
              <w:rPr>
                <w:rFonts w:cs="Arial"/>
                <w:sz w:val="20"/>
              </w:rPr>
            </w:pPr>
            <w:r w:rsidRPr="004D2863">
              <w:rPr>
                <w:rFonts w:cs="Arial"/>
                <w:sz w:val="20"/>
              </w:rPr>
              <w:t>1.50</w:t>
            </w:r>
          </w:p>
        </w:tc>
        <w:tc>
          <w:tcPr>
            <w:tcW w:w="943" w:type="pct"/>
            <w:tcBorders>
              <w:top w:val="nil"/>
              <w:left w:val="nil"/>
              <w:bottom w:val="single" w:sz="4" w:space="0" w:color="auto"/>
              <w:right w:val="single" w:sz="4" w:space="0" w:color="auto"/>
            </w:tcBorders>
            <w:shd w:val="clear" w:color="auto" w:fill="auto"/>
            <w:noWrap/>
          </w:tcPr>
          <w:p w14:paraId="58F9F822" w14:textId="77777777" w:rsidR="003D70B5" w:rsidRPr="004D2863" w:rsidRDefault="003D70B5" w:rsidP="004D2863">
            <w:pPr>
              <w:keepNext/>
              <w:keepLines/>
              <w:jc w:val="right"/>
              <w:rPr>
                <w:rFonts w:cs="Arial"/>
                <w:sz w:val="20"/>
              </w:rPr>
            </w:pPr>
            <w:r w:rsidRPr="004D2863">
              <w:rPr>
                <w:rFonts w:cs="Arial"/>
                <w:sz w:val="20"/>
              </w:rPr>
              <w:t>5.25</w:t>
            </w:r>
          </w:p>
        </w:tc>
        <w:tc>
          <w:tcPr>
            <w:tcW w:w="1205" w:type="pct"/>
            <w:tcBorders>
              <w:top w:val="nil"/>
              <w:left w:val="nil"/>
              <w:bottom w:val="single" w:sz="4" w:space="0" w:color="auto"/>
              <w:right w:val="single" w:sz="4" w:space="0" w:color="auto"/>
            </w:tcBorders>
            <w:shd w:val="clear" w:color="auto" w:fill="auto"/>
            <w:noWrap/>
          </w:tcPr>
          <w:p w14:paraId="08B125B1" w14:textId="77777777" w:rsidR="003D70B5" w:rsidRPr="004D2863" w:rsidRDefault="003D70B5" w:rsidP="004D2863">
            <w:pPr>
              <w:keepNext/>
              <w:keepLines/>
              <w:ind w:left="35"/>
              <w:rPr>
                <w:rFonts w:cs="Arial"/>
                <w:sz w:val="20"/>
              </w:rPr>
            </w:pPr>
            <w:r w:rsidRPr="004D2863">
              <w:rPr>
                <w:rFonts w:cs="Arial"/>
                <w:sz w:val="20"/>
              </w:rPr>
              <w:t xml:space="preserve">Manage </w:t>
            </w:r>
            <w:r w:rsidR="00B31E85" w:rsidRPr="004D2863">
              <w:rPr>
                <w:rFonts w:cs="Arial"/>
                <w:sz w:val="20"/>
              </w:rPr>
              <w:t>closely</w:t>
            </w:r>
          </w:p>
        </w:tc>
      </w:tr>
      <w:tr w:rsidR="004D2863" w14:paraId="3F96E913"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03DC8839" w14:textId="77777777" w:rsidR="003D70B5" w:rsidRPr="004D2863" w:rsidRDefault="003D70B5" w:rsidP="004D2863">
            <w:pPr>
              <w:keepNext/>
              <w:keepLines/>
              <w:ind w:left="0"/>
              <w:rPr>
                <w:rFonts w:cs="Arial"/>
                <w:i/>
                <w:iCs/>
                <w:sz w:val="20"/>
              </w:rPr>
            </w:pPr>
            <w:r w:rsidRPr="004D2863">
              <w:rPr>
                <w:rFonts w:cs="Arial"/>
                <w:i/>
                <w:iCs/>
                <w:sz w:val="20"/>
              </w:rPr>
              <w:t>Policy E</w:t>
            </w:r>
          </w:p>
        </w:tc>
        <w:tc>
          <w:tcPr>
            <w:tcW w:w="1007" w:type="pct"/>
            <w:tcBorders>
              <w:top w:val="nil"/>
              <w:left w:val="nil"/>
              <w:bottom w:val="single" w:sz="4" w:space="0" w:color="auto"/>
              <w:right w:val="single" w:sz="4" w:space="0" w:color="auto"/>
            </w:tcBorders>
            <w:shd w:val="clear" w:color="auto" w:fill="CCFFFF"/>
            <w:noWrap/>
          </w:tcPr>
          <w:p w14:paraId="3E62B0F9" w14:textId="77777777" w:rsidR="003D70B5" w:rsidRPr="004D2863" w:rsidRDefault="003D70B5" w:rsidP="004D2863">
            <w:pPr>
              <w:keepNext/>
              <w:keepLines/>
              <w:jc w:val="right"/>
              <w:rPr>
                <w:rFonts w:cs="Arial"/>
                <w:sz w:val="20"/>
              </w:rPr>
            </w:pPr>
            <w:r w:rsidRPr="004D2863">
              <w:rPr>
                <w:rFonts w:cs="Arial"/>
                <w:sz w:val="20"/>
              </w:rPr>
              <w:t>3.60</w:t>
            </w:r>
          </w:p>
        </w:tc>
        <w:tc>
          <w:tcPr>
            <w:tcW w:w="927" w:type="pct"/>
            <w:tcBorders>
              <w:top w:val="nil"/>
              <w:left w:val="nil"/>
              <w:bottom w:val="single" w:sz="4" w:space="0" w:color="auto"/>
              <w:right w:val="single" w:sz="4" w:space="0" w:color="auto"/>
            </w:tcBorders>
            <w:shd w:val="clear" w:color="auto" w:fill="CCFFFF"/>
            <w:noWrap/>
          </w:tcPr>
          <w:p w14:paraId="6B2C181F" w14:textId="77777777" w:rsidR="003D70B5" w:rsidRPr="004D2863" w:rsidRDefault="003D70B5" w:rsidP="004D2863">
            <w:pPr>
              <w:keepNext/>
              <w:keepLines/>
              <w:jc w:val="right"/>
              <w:rPr>
                <w:rFonts w:cs="Arial"/>
                <w:sz w:val="20"/>
              </w:rPr>
            </w:pPr>
            <w:r w:rsidRPr="004D2863">
              <w:rPr>
                <w:rFonts w:cs="Arial"/>
                <w:sz w:val="20"/>
              </w:rPr>
              <w:t>1.46</w:t>
            </w:r>
          </w:p>
        </w:tc>
        <w:tc>
          <w:tcPr>
            <w:tcW w:w="943" w:type="pct"/>
            <w:tcBorders>
              <w:top w:val="nil"/>
              <w:left w:val="nil"/>
              <w:bottom w:val="single" w:sz="4" w:space="0" w:color="auto"/>
              <w:right w:val="single" w:sz="4" w:space="0" w:color="auto"/>
            </w:tcBorders>
            <w:shd w:val="clear" w:color="auto" w:fill="auto"/>
            <w:noWrap/>
          </w:tcPr>
          <w:p w14:paraId="15A64B09" w14:textId="77777777" w:rsidR="003D70B5" w:rsidRPr="004D2863" w:rsidRDefault="003D70B5" w:rsidP="004D2863">
            <w:pPr>
              <w:keepNext/>
              <w:keepLines/>
              <w:jc w:val="right"/>
              <w:rPr>
                <w:rFonts w:cs="Arial"/>
                <w:sz w:val="20"/>
              </w:rPr>
            </w:pPr>
            <w:r w:rsidRPr="004D2863">
              <w:rPr>
                <w:rFonts w:cs="Arial"/>
                <w:sz w:val="20"/>
              </w:rPr>
              <w:t>5.14</w:t>
            </w:r>
          </w:p>
        </w:tc>
        <w:tc>
          <w:tcPr>
            <w:tcW w:w="1205" w:type="pct"/>
            <w:tcBorders>
              <w:top w:val="nil"/>
              <w:left w:val="nil"/>
              <w:bottom w:val="single" w:sz="4" w:space="0" w:color="auto"/>
              <w:right w:val="single" w:sz="4" w:space="0" w:color="auto"/>
            </w:tcBorders>
            <w:shd w:val="clear" w:color="auto" w:fill="auto"/>
            <w:noWrap/>
          </w:tcPr>
          <w:p w14:paraId="27994FCB" w14:textId="77777777" w:rsidR="003D70B5" w:rsidRPr="004D2863" w:rsidRDefault="003D70B5" w:rsidP="004D2863">
            <w:pPr>
              <w:keepNext/>
              <w:keepLines/>
              <w:ind w:left="35"/>
              <w:rPr>
                <w:rFonts w:cs="Arial"/>
                <w:sz w:val="20"/>
              </w:rPr>
            </w:pPr>
            <w:r w:rsidRPr="004D2863">
              <w:rPr>
                <w:rFonts w:cs="Arial"/>
                <w:sz w:val="20"/>
              </w:rPr>
              <w:t xml:space="preserve">Manage </w:t>
            </w:r>
            <w:r w:rsidR="00B31E85" w:rsidRPr="004D2863">
              <w:rPr>
                <w:rFonts w:cs="Arial"/>
                <w:sz w:val="20"/>
              </w:rPr>
              <w:t>closely</w:t>
            </w:r>
          </w:p>
        </w:tc>
      </w:tr>
      <w:tr w:rsidR="004D2863" w14:paraId="21F838D0"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1B785EF0" w14:textId="77777777" w:rsidR="003D70B5" w:rsidRPr="004D2863" w:rsidRDefault="003D70B5" w:rsidP="004D2863">
            <w:pPr>
              <w:keepNext/>
              <w:keepLines/>
              <w:ind w:left="0"/>
              <w:rPr>
                <w:rFonts w:cs="Arial"/>
                <w:i/>
                <w:iCs/>
                <w:sz w:val="20"/>
              </w:rPr>
            </w:pPr>
            <w:r w:rsidRPr="004D2863">
              <w:rPr>
                <w:rFonts w:cs="Arial"/>
                <w:i/>
                <w:iCs/>
                <w:sz w:val="20"/>
              </w:rPr>
              <w:t>Policy F</w:t>
            </w:r>
          </w:p>
        </w:tc>
        <w:tc>
          <w:tcPr>
            <w:tcW w:w="1007" w:type="pct"/>
            <w:tcBorders>
              <w:top w:val="nil"/>
              <w:left w:val="nil"/>
              <w:bottom w:val="single" w:sz="4" w:space="0" w:color="auto"/>
              <w:right w:val="single" w:sz="4" w:space="0" w:color="auto"/>
            </w:tcBorders>
            <w:shd w:val="clear" w:color="auto" w:fill="CCFFFF"/>
            <w:noWrap/>
          </w:tcPr>
          <w:p w14:paraId="73DED947" w14:textId="77777777" w:rsidR="003D70B5" w:rsidRPr="004D2863" w:rsidRDefault="003D70B5" w:rsidP="004D2863">
            <w:pPr>
              <w:keepNext/>
              <w:keepLines/>
              <w:jc w:val="right"/>
              <w:rPr>
                <w:rFonts w:cs="Arial"/>
                <w:sz w:val="20"/>
              </w:rPr>
            </w:pPr>
            <w:r w:rsidRPr="004D2863">
              <w:rPr>
                <w:rFonts w:cs="Arial"/>
                <w:sz w:val="20"/>
              </w:rPr>
              <w:t>4.00</w:t>
            </w:r>
          </w:p>
        </w:tc>
        <w:tc>
          <w:tcPr>
            <w:tcW w:w="927" w:type="pct"/>
            <w:tcBorders>
              <w:top w:val="nil"/>
              <w:left w:val="nil"/>
              <w:bottom w:val="single" w:sz="4" w:space="0" w:color="auto"/>
              <w:right w:val="single" w:sz="4" w:space="0" w:color="auto"/>
            </w:tcBorders>
            <w:shd w:val="clear" w:color="auto" w:fill="CCFFFF"/>
            <w:noWrap/>
          </w:tcPr>
          <w:p w14:paraId="47426C8F" w14:textId="77777777" w:rsidR="003D70B5" w:rsidRPr="004D2863" w:rsidRDefault="003D70B5" w:rsidP="004D2863">
            <w:pPr>
              <w:keepNext/>
              <w:keepLines/>
              <w:jc w:val="right"/>
              <w:rPr>
                <w:rFonts w:cs="Arial"/>
                <w:sz w:val="20"/>
              </w:rPr>
            </w:pPr>
            <w:r w:rsidRPr="004D2863">
              <w:rPr>
                <w:rFonts w:cs="Arial"/>
                <w:sz w:val="20"/>
              </w:rPr>
              <w:t>3.71</w:t>
            </w:r>
          </w:p>
        </w:tc>
        <w:tc>
          <w:tcPr>
            <w:tcW w:w="943" w:type="pct"/>
            <w:tcBorders>
              <w:top w:val="nil"/>
              <w:left w:val="nil"/>
              <w:bottom w:val="single" w:sz="4" w:space="0" w:color="auto"/>
              <w:right w:val="single" w:sz="4" w:space="0" w:color="auto"/>
            </w:tcBorders>
            <w:shd w:val="clear" w:color="auto" w:fill="auto"/>
            <w:noWrap/>
          </w:tcPr>
          <w:p w14:paraId="5A4B75DA" w14:textId="77777777" w:rsidR="003D70B5" w:rsidRPr="004D2863" w:rsidRDefault="003D70B5" w:rsidP="004D2863">
            <w:pPr>
              <w:keepNext/>
              <w:keepLines/>
              <w:jc w:val="right"/>
              <w:rPr>
                <w:rFonts w:cs="Arial"/>
                <w:sz w:val="20"/>
              </w:rPr>
            </w:pPr>
            <w:r w:rsidRPr="004D2863">
              <w:rPr>
                <w:rFonts w:cs="Arial"/>
                <w:sz w:val="20"/>
              </w:rPr>
              <w:t>3.04</w:t>
            </w:r>
          </w:p>
        </w:tc>
        <w:tc>
          <w:tcPr>
            <w:tcW w:w="1205" w:type="pct"/>
            <w:tcBorders>
              <w:top w:val="nil"/>
              <w:left w:val="nil"/>
              <w:bottom w:val="single" w:sz="4" w:space="0" w:color="auto"/>
              <w:right w:val="single" w:sz="4" w:space="0" w:color="auto"/>
            </w:tcBorders>
            <w:shd w:val="clear" w:color="auto" w:fill="auto"/>
            <w:noWrap/>
          </w:tcPr>
          <w:p w14:paraId="1BF5061D" w14:textId="77777777" w:rsidR="003D70B5" w:rsidRPr="004D2863" w:rsidRDefault="003D70B5" w:rsidP="004D2863">
            <w:pPr>
              <w:keepNext/>
              <w:keepLines/>
              <w:ind w:left="35"/>
              <w:rPr>
                <w:rFonts w:cs="Arial"/>
                <w:sz w:val="20"/>
              </w:rPr>
            </w:pPr>
            <w:r w:rsidRPr="004D2863">
              <w:rPr>
                <w:rFonts w:cs="Arial"/>
                <w:sz w:val="20"/>
              </w:rPr>
              <w:t>Commit</w:t>
            </w:r>
          </w:p>
        </w:tc>
      </w:tr>
      <w:tr w:rsidR="004D2863" w14:paraId="02762012"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4AA858D5" w14:textId="77777777" w:rsidR="003D70B5" w:rsidRPr="004D2863" w:rsidRDefault="003D70B5" w:rsidP="004D2863">
            <w:pPr>
              <w:keepNext/>
              <w:keepLines/>
              <w:ind w:left="0"/>
              <w:rPr>
                <w:rFonts w:cs="Arial"/>
                <w:i/>
                <w:iCs/>
                <w:sz w:val="20"/>
              </w:rPr>
            </w:pPr>
            <w:r w:rsidRPr="004D2863">
              <w:rPr>
                <w:rFonts w:cs="Arial"/>
                <w:i/>
                <w:iCs/>
                <w:sz w:val="20"/>
              </w:rPr>
              <w:t>Policy G</w:t>
            </w:r>
          </w:p>
        </w:tc>
        <w:tc>
          <w:tcPr>
            <w:tcW w:w="1007" w:type="pct"/>
            <w:tcBorders>
              <w:top w:val="nil"/>
              <w:left w:val="nil"/>
              <w:bottom w:val="single" w:sz="4" w:space="0" w:color="auto"/>
              <w:right w:val="single" w:sz="4" w:space="0" w:color="auto"/>
            </w:tcBorders>
            <w:shd w:val="clear" w:color="auto" w:fill="CCFFFF"/>
            <w:noWrap/>
          </w:tcPr>
          <w:p w14:paraId="3764B1FB" w14:textId="77777777" w:rsidR="003D70B5" w:rsidRPr="004D2863" w:rsidRDefault="003D70B5" w:rsidP="004D2863">
            <w:pPr>
              <w:keepNext/>
              <w:keepLines/>
              <w:jc w:val="right"/>
              <w:rPr>
                <w:rFonts w:cs="Arial"/>
                <w:sz w:val="20"/>
              </w:rPr>
            </w:pPr>
            <w:r w:rsidRPr="004D2863">
              <w:rPr>
                <w:rFonts w:cs="Arial"/>
                <w:sz w:val="20"/>
              </w:rPr>
              <w:t>2.00</w:t>
            </w:r>
          </w:p>
        </w:tc>
        <w:tc>
          <w:tcPr>
            <w:tcW w:w="927" w:type="pct"/>
            <w:tcBorders>
              <w:top w:val="nil"/>
              <w:left w:val="nil"/>
              <w:bottom w:val="single" w:sz="4" w:space="0" w:color="auto"/>
              <w:right w:val="single" w:sz="4" w:space="0" w:color="auto"/>
            </w:tcBorders>
            <w:shd w:val="clear" w:color="auto" w:fill="CCFFFF"/>
            <w:noWrap/>
          </w:tcPr>
          <w:p w14:paraId="2D0CB26A" w14:textId="77777777" w:rsidR="003D70B5" w:rsidRPr="004D2863" w:rsidRDefault="003D70B5" w:rsidP="004D2863">
            <w:pPr>
              <w:keepNext/>
              <w:keepLines/>
              <w:jc w:val="right"/>
              <w:rPr>
                <w:rFonts w:cs="Arial"/>
                <w:sz w:val="20"/>
              </w:rPr>
            </w:pPr>
            <w:r w:rsidRPr="004D2863">
              <w:rPr>
                <w:rFonts w:cs="Arial"/>
                <w:sz w:val="20"/>
              </w:rPr>
              <w:t>1.00</w:t>
            </w:r>
          </w:p>
        </w:tc>
        <w:tc>
          <w:tcPr>
            <w:tcW w:w="943" w:type="pct"/>
            <w:tcBorders>
              <w:top w:val="nil"/>
              <w:left w:val="nil"/>
              <w:bottom w:val="single" w:sz="4" w:space="0" w:color="auto"/>
              <w:right w:val="single" w:sz="4" w:space="0" w:color="auto"/>
            </w:tcBorders>
            <w:shd w:val="clear" w:color="auto" w:fill="auto"/>
            <w:noWrap/>
          </w:tcPr>
          <w:p w14:paraId="5B256A3E" w14:textId="77777777" w:rsidR="003D70B5" w:rsidRPr="004D2863" w:rsidRDefault="003D70B5" w:rsidP="004D2863">
            <w:pPr>
              <w:keepNext/>
              <w:keepLines/>
              <w:jc w:val="right"/>
              <w:rPr>
                <w:rFonts w:cs="Arial"/>
                <w:sz w:val="20"/>
              </w:rPr>
            </w:pPr>
            <w:r w:rsidRPr="004D2863">
              <w:rPr>
                <w:rFonts w:cs="Arial"/>
                <w:sz w:val="20"/>
              </w:rPr>
              <w:t>6.40</w:t>
            </w:r>
          </w:p>
        </w:tc>
        <w:tc>
          <w:tcPr>
            <w:tcW w:w="1205" w:type="pct"/>
            <w:tcBorders>
              <w:top w:val="nil"/>
              <w:left w:val="nil"/>
              <w:bottom w:val="single" w:sz="4" w:space="0" w:color="auto"/>
              <w:right w:val="single" w:sz="4" w:space="0" w:color="auto"/>
            </w:tcBorders>
            <w:shd w:val="clear" w:color="auto" w:fill="auto"/>
            <w:noWrap/>
          </w:tcPr>
          <w:p w14:paraId="4569AF47" w14:textId="77777777" w:rsidR="003D70B5" w:rsidRPr="004D2863" w:rsidRDefault="003D70B5" w:rsidP="004D2863">
            <w:pPr>
              <w:keepNext/>
              <w:keepLines/>
              <w:ind w:left="35"/>
              <w:rPr>
                <w:rFonts w:cs="Arial"/>
                <w:sz w:val="20"/>
              </w:rPr>
            </w:pPr>
            <w:r w:rsidRPr="004D2863">
              <w:rPr>
                <w:rFonts w:cs="Arial"/>
                <w:sz w:val="20"/>
              </w:rPr>
              <w:t>Hold</w:t>
            </w:r>
            <w:r w:rsidRPr="004D2863">
              <w:rPr>
                <w:rFonts w:cs="Arial"/>
                <w:sz w:val="20"/>
              </w:rPr>
              <w:fldChar w:fldCharType="begin"/>
            </w:r>
            <w:r w:rsidRPr="004D2863">
              <w:rPr>
                <w:rFonts w:cs="Arial"/>
                <w:sz w:val="20"/>
              </w:rPr>
              <w:instrText xml:space="preserve"> NOTEREF _Ref313613335 \f \h </w:instrText>
            </w:r>
            <w:r w:rsidR="004D2863" w:rsidRPr="004D2863">
              <w:rPr>
                <w:rFonts w:cs="Arial"/>
                <w:sz w:val="20"/>
              </w:rPr>
              <w:instrText xml:space="preserve"> \* MERGEFORMAT </w:instrText>
            </w:r>
            <w:r w:rsidRPr="004D2863">
              <w:rPr>
                <w:rFonts w:cs="Arial"/>
                <w:sz w:val="20"/>
              </w:rPr>
            </w:r>
            <w:r w:rsidRPr="004D2863">
              <w:rPr>
                <w:rFonts w:cs="Arial"/>
                <w:sz w:val="20"/>
              </w:rPr>
              <w:fldChar w:fldCharType="separate"/>
            </w:r>
            <w:r w:rsidR="00E43144" w:rsidRPr="00E43144">
              <w:rPr>
                <w:rStyle w:val="FootnoteReference"/>
                <w:rFonts w:cs="Arial"/>
                <w:sz w:val="20"/>
              </w:rPr>
              <w:t>1</w:t>
            </w:r>
            <w:r w:rsidRPr="004D2863">
              <w:rPr>
                <w:rFonts w:cs="Arial"/>
                <w:sz w:val="20"/>
              </w:rPr>
              <w:fldChar w:fldCharType="end"/>
            </w:r>
          </w:p>
        </w:tc>
      </w:tr>
      <w:tr w:rsidR="004D2863" w14:paraId="187B2467" w14:textId="77777777">
        <w:trPr>
          <w:cantSplit/>
          <w:trHeight w:val="238"/>
        </w:trPr>
        <w:tc>
          <w:tcPr>
            <w:tcW w:w="917" w:type="pct"/>
            <w:tcBorders>
              <w:top w:val="nil"/>
              <w:left w:val="single" w:sz="4" w:space="0" w:color="auto"/>
              <w:bottom w:val="single" w:sz="4" w:space="0" w:color="auto"/>
              <w:right w:val="single" w:sz="4" w:space="0" w:color="auto"/>
            </w:tcBorders>
            <w:shd w:val="clear" w:color="auto" w:fill="auto"/>
          </w:tcPr>
          <w:p w14:paraId="08B90DE3" w14:textId="77777777" w:rsidR="003D70B5" w:rsidRPr="004D2863" w:rsidRDefault="003D70B5" w:rsidP="004D2863">
            <w:pPr>
              <w:keepNext/>
              <w:keepLines/>
              <w:ind w:left="0"/>
              <w:rPr>
                <w:rFonts w:cs="Arial"/>
                <w:i/>
                <w:iCs/>
                <w:sz w:val="20"/>
              </w:rPr>
            </w:pPr>
            <w:r w:rsidRPr="004D2863">
              <w:rPr>
                <w:rFonts w:cs="Arial"/>
                <w:i/>
                <w:iCs/>
                <w:sz w:val="20"/>
              </w:rPr>
              <w:t>Policy H</w:t>
            </w:r>
          </w:p>
        </w:tc>
        <w:tc>
          <w:tcPr>
            <w:tcW w:w="1007" w:type="pct"/>
            <w:tcBorders>
              <w:top w:val="nil"/>
              <w:left w:val="nil"/>
              <w:bottom w:val="single" w:sz="4" w:space="0" w:color="auto"/>
              <w:right w:val="single" w:sz="4" w:space="0" w:color="auto"/>
            </w:tcBorders>
            <w:shd w:val="clear" w:color="auto" w:fill="CCFFFF"/>
            <w:noWrap/>
          </w:tcPr>
          <w:p w14:paraId="3E566B8C" w14:textId="77777777" w:rsidR="003D70B5" w:rsidRPr="004D2863" w:rsidRDefault="003D70B5" w:rsidP="004D2863">
            <w:pPr>
              <w:keepNext/>
              <w:keepLines/>
              <w:jc w:val="right"/>
              <w:rPr>
                <w:rFonts w:cs="Arial"/>
                <w:sz w:val="20"/>
              </w:rPr>
            </w:pPr>
            <w:r w:rsidRPr="004D2863">
              <w:rPr>
                <w:rFonts w:cs="Arial"/>
                <w:sz w:val="20"/>
              </w:rPr>
              <w:t>3.40</w:t>
            </w:r>
          </w:p>
        </w:tc>
        <w:tc>
          <w:tcPr>
            <w:tcW w:w="927" w:type="pct"/>
            <w:tcBorders>
              <w:top w:val="nil"/>
              <w:left w:val="nil"/>
              <w:bottom w:val="single" w:sz="4" w:space="0" w:color="auto"/>
              <w:right w:val="single" w:sz="4" w:space="0" w:color="auto"/>
            </w:tcBorders>
            <w:shd w:val="clear" w:color="auto" w:fill="CCFFFF"/>
            <w:noWrap/>
          </w:tcPr>
          <w:p w14:paraId="1468BF88" w14:textId="77777777" w:rsidR="003D70B5" w:rsidRPr="004D2863" w:rsidRDefault="003D70B5" w:rsidP="004D2863">
            <w:pPr>
              <w:keepNext/>
              <w:keepLines/>
              <w:jc w:val="right"/>
              <w:rPr>
                <w:rFonts w:cs="Arial"/>
                <w:sz w:val="20"/>
              </w:rPr>
            </w:pPr>
            <w:r w:rsidRPr="004D2863">
              <w:rPr>
                <w:rFonts w:cs="Arial"/>
                <w:sz w:val="20"/>
              </w:rPr>
              <w:t>2.96</w:t>
            </w:r>
          </w:p>
        </w:tc>
        <w:tc>
          <w:tcPr>
            <w:tcW w:w="943" w:type="pct"/>
            <w:tcBorders>
              <w:top w:val="nil"/>
              <w:left w:val="nil"/>
              <w:bottom w:val="single" w:sz="4" w:space="0" w:color="auto"/>
              <w:right w:val="single" w:sz="4" w:space="0" w:color="auto"/>
            </w:tcBorders>
            <w:shd w:val="clear" w:color="auto" w:fill="auto"/>
            <w:noWrap/>
          </w:tcPr>
          <w:p w14:paraId="11887B42" w14:textId="77777777" w:rsidR="003D70B5" w:rsidRPr="004D2863" w:rsidRDefault="003D70B5" w:rsidP="004D2863">
            <w:pPr>
              <w:keepNext/>
              <w:keepLines/>
              <w:jc w:val="right"/>
              <w:rPr>
                <w:rFonts w:cs="Arial"/>
                <w:sz w:val="20"/>
              </w:rPr>
            </w:pPr>
            <w:r w:rsidRPr="004D2863">
              <w:rPr>
                <w:rFonts w:cs="Arial"/>
                <w:sz w:val="20"/>
              </w:rPr>
              <w:t>4.00</w:t>
            </w:r>
          </w:p>
        </w:tc>
        <w:tc>
          <w:tcPr>
            <w:tcW w:w="1205" w:type="pct"/>
            <w:tcBorders>
              <w:top w:val="nil"/>
              <w:left w:val="nil"/>
              <w:bottom w:val="single" w:sz="4" w:space="0" w:color="auto"/>
              <w:right w:val="single" w:sz="4" w:space="0" w:color="auto"/>
            </w:tcBorders>
            <w:shd w:val="clear" w:color="auto" w:fill="auto"/>
            <w:noWrap/>
          </w:tcPr>
          <w:p w14:paraId="3BED44F4" w14:textId="77777777" w:rsidR="003D70B5" w:rsidRPr="004D2863" w:rsidRDefault="003D70B5" w:rsidP="004D2863">
            <w:pPr>
              <w:keepNext/>
              <w:keepLines/>
              <w:ind w:left="35"/>
              <w:rPr>
                <w:rFonts w:cs="Arial"/>
                <w:sz w:val="20"/>
              </w:rPr>
            </w:pPr>
            <w:r w:rsidRPr="004D2863">
              <w:rPr>
                <w:rFonts w:cs="Arial"/>
                <w:sz w:val="20"/>
              </w:rPr>
              <w:t>Commit</w:t>
            </w:r>
          </w:p>
        </w:tc>
      </w:tr>
    </w:tbl>
    <w:p w14:paraId="47303C23" w14:textId="77777777" w:rsidR="003D70B5" w:rsidRDefault="003D70B5" w:rsidP="003D70B5">
      <w:pPr>
        <w:pStyle w:val="Caption"/>
        <w:ind w:left="0"/>
        <w:jc w:val="center"/>
        <w:rPr>
          <w:rFonts w:cs="Arial"/>
        </w:rPr>
      </w:pPr>
      <w:bookmarkStart w:id="26" w:name="_Ref311634052"/>
      <w:bookmarkStart w:id="27" w:name="_Ref311634046"/>
      <w:bookmarkStart w:id="28" w:name="_Toc313613535"/>
      <w:bookmarkStart w:id="29" w:name="_Toc354571111"/>
      <w:r>
        <w:t xml:space="preserve">Table </w:t>
      </w:r>
      <w:fldSimple w:instr=" SEQ Table \* ARABIC ">
        <w:r w:rsidR="00E43144">
          <w:rPr>
            <w:noProof/>
          </w:rPr>
          <w:t>1</w:t>
        </w:r>
      </w:fldSimple>
      <w:bookmarkEnd w:id="26"/>
      <w:r>
        <w:t xml:space="preserve"> Example ranking of QGEA policy implementation</w:t>
      </w:r>
      <w:bookmarkEnd w:id="27"/>
      <w:bookmarkEnd w:id="28"/>
      <w:bookmarkEnd w:id="29"/>
    </w:p>
    <w:p w14:paraId="207FF7D0" w14:textId="77777777" w:rsidR="003D70B5" w:rsidRDefault="003D70B5" w:rsidP="003D70B5">
      <w:pPr>
        <w:pStyle w:val="BodyText"/>
        <w:rPr>
          <w:lang w:eastAsia="en-US"/>
        </w:rPr>
      </w:pPr>
      <w:r>
        <w:rPr>
          <w:lang w:eastAsia="en-US"/>
        </w:rPr>
        <w:t xml:space="preserve">In the example in </w:t>
      </w:r>
      <w:r>
        <w:rPr>
          <w:lang w:eastAsia="en-US"/>
        </w:rPr>
        <w:fldChar w:fldCharType="begin"/>
      </w:r>
      <w:r>
        <w:rPr>
          <w:lang w:eastAsia="en-US"/>
        </w:rPr>
        <w:instrText xml:space="preserve"> REF _Ref311634052 \h </w:instrText>
      </w:r>
      <w:r>
        <w:rPr>
          <w:lang w:eastAsia="en-US"/>
        </w:rPr>
      </w:r>
      <w:r>
        <w:rPr>
          <w:lang w:eastAsia="en-US"/>
        </w:rPr>
        <w:fldChar w:fldCharType="separate"/>
      </w:r>
      <w:r w:rsidR="00E43144">
        <w:t xml:space="preserve">Table </w:t>
      </w:r>
      <w:r w:rsidR="00E43144">
        <w:rPr>
          <w:noProof/>
        </w:rPr>
        <w:t>1</w:t>
      </w:r>
      <w:r>
        <w:rPr>
          <w:lang w:eastAsia="en-US"/>
        </w:rPr>
        <w:fldChar w:fldCharType="end"/>
      </w:r>
      <w:r>
        <w:rPr>
          <w:lang w:eastAsia="en-US"/>
        </w:rPr>
        <w:t xml:space="preserve"> above</w:t>
      </w:r>
      <w:r w:rsidRPr="001F76C9">
        <w:rPr>
          <w:lang w:eastAsia="en-US"/>
        </w:rPr>
        <w:t xml:space="preserve">, </w:t>
      </w:r>
      <w:r>
        <w:rPr>
          <w:lang w:eastAsia="en-US"/>
        </w:rPr>
        <w:t>policy A has the highest priority with the lowest</w:t>
      </w:r>
      <w:r w:rsidRPr="001F76C9">
        <w:rPr>
          <w:lang w:eastAsia="en-US"/>
        </w:rPr>
        <w:t xml:space="preserve"> ranking of 2</w:t>
      </w:r>
      <w:r>
        <w:rPr>
          <w:lang w:eastAsia="en-US"/>
        </w:rPr>
        <w:t>.24. Policy</w:t>
      </w:r>
      <w:r w:rsidRPr="001F76C9">
        <w:rPr>
          <w:lang w:eastAsia="en-US"/>
        </w:rPr>
        <w:t xml:space="preserve"> </w:t>
      </w:r>
      <w:r>
        <w:rPr>
          <w:lang w:eastAsia="en-US"/>
        </w:rPr>
        <w:t>G</w:t>
      </w:r>
      <w:r w:rsidRPr="001F76C9">
        <w:rPr>
          <w:lang w:eastAsia="en-US"/>
        </w:rPr>
        <w:t xml:space="preserve"> would be prioritised l</w:t>
      </w:r>
      <w:r>
        <w:rPr>
          <w:lang w:eastAsia="en-US"/>
        </w:rPr>
        <w:t>ast with the highest</w:t>
      </w:r>
      <w:r w:rsidRPr="001F76C9">
        <w:rPr>
          <w:lang w:eastAsia="en-US"/>
        </w:rPr>
        <w:t xml:space="preserve"> ranking of 6</w:t>
      </w:r>
      <w:r>
        <w:rPr>
          <w:lang w:eastAsia="en-US"/>
        </w:rPr>
        <w:t xml:space="preserve">.40. </w:t>
      </w:r>
      <w:r w:rsidRPr="001F76C9">
        <w:rPr>
          <w:lang w:eastAsia="en-US"/>
        </w:rPr>
        <w:t xml:space="preserve">This coincides with the position of these </w:t>
      </w:r>
      <w:r>
        <w:rPr>
          <w:lang w:eastAsia="en-US"/>
        </w:rPr>
        <w:t>policies</w:t>
      </w:r>
      <w:r w:rsidRPr="001F76C9">
        <w:rPr>
          <w:lang w:eastAsia="en-US"/>
        </w:rPr>
        <w:t xml:space="preserve"> on </w:t>
      </w:r>
      <w:r>
        <w:rPr>
          <w:lang w:eastAsia="en-US"/>
        </w:rPr>
        <w:t>the priority grid as policy A</w:t>
      </w:r>
      <w:r w:rsidRPr="001F76C9">
        <w:rPr>
          <w:lang w:eastAsia="en-US"/>
        </w:rPr>
        <w:t xml:space="preserve"> is in the commit quadrant</w:t>
      </w:r>
      <w:r>
        <w:rPr>
          <w:lang w:eastAsia="en-US"/>
        </w:rPr>
        <w:t>,</w:t>
      </w:r>
      <w:r w:rsidRPr="001F76C9">
        <w:rPr>
          <w:lang w:eastAsia="en-US"/>
        </w:rPr>
        <w:t xml:space="preserve"> </w:t>
      </w:r>
      <w:r>
        <w:rPr>
          <w:lang w:eastAsia="en-US"/>
        </w:rPr>
        <w:t>whilst policy G</w:t>
      </w:r>
      <w:r w:rsidRPr="001F76C9">
        <w:rPr>
          <w:lang w:eastAsia="en-US"/>
        </w:rPr>
        <w:t xml:space="preserve"> </w:t>
      </w:r>
      <w:r>
        <w:rPr>
          <w:lang w:eastAsia="en-US"/>
        </w:rPr>
        <w:t>is in the hold</w:t>
      </w:r>
      <w:r>
        <w:rPr>
          <w:lang w:eastAsia="en-US"/>
        </w:rPr>
        <w:fldChar w:fldCharType="begin"/>
      </w:r>
      <w:r>
        <w:rPr>
          <w:lang w:eastAsia="en-US"/>
        </w:rPr>
        <w:instrText xml:space="preserve"> NOTEREF _Ref313613335 \f \h </w:instrText>
      </w:r>
      <w:r>
        <w:rPr>
          <w:lang w:eastAsia="en-US"/>
        </w:rPr>
      </w:r>
      <w:r>
        <w:rPr>
          <w:lang w:eastAsia="en-US"/>
        </w:rPr>
        <w:fldChar w:fldCharType="separate"/>
      </w:r>
      <w:r w:rsidR="00E43144" w:rsidRPr="00E43144">
        <w:rPr>
          <w:rStyle w:val="FootnoteReference"/>
        </w:rPr>
        <w:t>1</w:t>
      </w:r>
      <w:r>
        <w:rPr>
          <w:lang w:eastAsia="en-US"/>
        </w:rPr>
        <w:fldChar w:fldCharType="end"/>
      </w:r>
      <w:r>
        <w:rPr>
          <w:lang w:eastAsia="en-US"/>
        </w:rPr>
        <w:t xml:space="preserve"> quadrant. </w:t>
      </w:r>
      <w:r w:rsidRPr="001F76C9">
        <w:rPr>
          <w:lang w:eastAsia="en-US"/>
        </w:rPr>
        <w:t xml:space="preserve">It is likely that the </w:t>
      </w:r>
      <w:r>
        <w:rPr>
          <w:lang w:eastAsia="en-US"/>
        </w:rPr>
        <w:t>department</w:t>
      </w:r>
      <w:r w:rsidRPr="001F76C9">
        <w:rPr>
          <w:lang w:eastAsia="en-US"/>
        </w:rPr>
        <w:t xml:space="preserve"> may commit to </w:t>
      </w:r>
      <w:r>
        <w:rPr>
          <w:lang w:eastAsia="en-US"/>
        </w:rPr>
        <w:t>implementing policy B, F and H given they fall within the commit quadrant</w:t>
      </w:r>
      <w:r w:rsidRPr="001F76C9">
        <w:rPr>
          <w:lang w:eastAsia="en-US"/>
        </w:rPr>
        <w:t xml:space="preserve">; however they would have a lower priority than </w:t>
      </w:r>
      <w:r>
        <w:rPr>
          <w:lang w:eastAsia="en-US"/>
        </w:rPr>
        <w:t>policy A</w:t>
      </w:r>
      <w:r w:rsidRPr="001F76C9">
        <w:rPr>
          <w:lang w:eastAsia="en-US"/>
        </w:rPr>
        <w:t>.</w:t>
      </w:r>
      <w:r>
        <w:rPr>
          <w:lang w:eastAsia="en-US"/>
        </w:rPr>
        <w:t xml:space="preserve"> </w:t>
      </w:r>
    </w:p>
    <w:p w14:paraId="6852AC05" w14:textId="77777777" w:rsidR="003D70B5" w:rsidRDefault="003D70B5" w:rsidP="003D70B5">
      <w:pPr>
        <w:pStyle w:val="BodyText"/>
        <w:rPr>
          <w:lang w:eastAsia="en-US"/>
        </w:rPr>
      </w:pPr>
      <w:r>
        <w:rPr>
          <w:lang w:eastAsia="en-US"/>
        </w:rPr>
        <w:t xml:space="preserve">The worksheet also displays the relevant priority action for each policy. See </w:t>
      </w:r>
      <w:r>
        <w:rPr>
          <w:lang w:eastAsia="en-US"/>
        </w:rPr>
        <w:fldChar w:fldCharType="begin"/>
      </w:r>
      <w:r>
        <w:rPr>
          <w:lang w:eastAsia="en-US"/>
        </w:rPr>
        <w:instrText xml:space="preserve"> REF _Ref311633865 \h </w:instrText>
      </w:r>
      <w:r>
        <w:rPr>
          <w:lang w:eastAsia="en-US"/>
        </w:rPr>
      </w:r>
      <w:r>
        <w:rPr>
          <w:lang w:eastAsia="en-US"/>
        </w:rPr>
        <w:fldChar w:fldCharType="separate"/>
      </w:r>
      <w:r w:rsidR="00E43144">
        <w:t xml:space="preserve">Figure </w:t>
      </w:r>
      <w:r w:rsidR="00E43144">
        <w:rPr>
          <w:noProof/>
        </w:rPr>
        <w:t>3</w:t>
      </w:r>
      <w:r>
        <w:rPr>
          <w:lang w:eastAsia="en-US"/>
        </w:rPr>
        <w:fldChar w:fldCharType="end"/>
      </w:r>
      <w:r>
        <w:rPr>
          <w:lang w:eastAsia="en-US"/>
        </w:rPr>
        <w:t xml:space="preserve"> for an explanation of each possible priority action.</w:t>
      </w:r>
    </w:p>
    <w:p w14:paraId="469E2444" w14:textId="77777777" w:rsidR="003D70B5" w:rsidRDefault="003D70B5" w:rsidP="003D70B5">
      <w:pPr>
        <w:pStyle w:val="BodyText"/>
        <w:rPr>
          <w:lang w:eastAsia="en-US"/>
        </w:rPr>
      </w:pPr>
    </w:p>
    <w:p w14:paraId="3BE2267C" w14:textId="77777777" w:rsidR="003D70B5" w:rsidRDefault="003D70B5" w:rsidP="003D70B5">
      <w:pPr>
        <w:pStyle w:val="Heading1"/>
      </w:pPr>
      <w:bookmarkStart w:id="30" w:name="_Toc313613531"/>
      <w:bookmarkStart w:id="31" w:name="_Toc354571107"/>
      <w:r>
        <w:t>Frequently asked questions</w:t>
      </w:r>
      <w:bookmarkEnd w:id="30"/>
      <w:bookmarkEnd w:id="31"/>
    </w:p>
    <w:p w14:paraId="6DEB3E75" w14:textId="77777777" w:rsidR="003D70B5" w:rsidRDefault="003D70B5" w:rsidP="003D70B5">
      <w:pPr>
        <w:pStyle w:val="Heading4"/>
        <w:numPr>
          <w:ilvl w:val="3"/>
          <w:numId w:val="19"/>
        </w:numPr>
      </w:pPr>
      <w:r>
        <w:t>1. Can I modify the technique?</w:t>
      </w:r>
    </w:p>
    <w:p w14:paraId="74C7FF6B" w14:textId="77777777" w:rsidR="003D70B5" w:rsidRDefault="003D70B5" w:rsidP="003D70B5">
      <w:pPr>
        <w:pStyle w:val="BodyText"/>
      </w:pPr>
      <w:r>
        <w:t xml:space="preserve">Yes. </w:t>
      </w:r>
    </w:p>
    <w:p w14:paraId="379EA1E2" w14:textId="77777777" w:rsidR="003D70B5" w:rsidRDefault="003D70B5" w:rsidP="003D70B5">
      <w:pPr>
        <w:pStyle w:val="BodyText"/>
      </w:pPr>
      <w:r>
        <w:t>Departments are encouraged to modify the technique to meet their needs. However departments are advised to be careful to not mix dimensions between attractiveness and achievability as this will affect the result on the priority grid.</w:t>
      </w:r>
    </w:p>
    <w:p w14:paraId="5BB5383C" w14:textId="77777777" w:rsidR="003D70B5" w:rsidRDefault="003D70B5" w:rsidP="003D70B5">
      <w:pPr>
        <w:pStyle w:val="BodyText"/>
      </w:pPr>
      <w:r>
        <w:t>Departments will also need to extend the spreadsheet to suit their needs as it has only been designed to demonstrate the technique.</w:t>
      </w:r>
    </w:p>
    <w:p w14:paraId="523B4D88" w14:textId="77777777" w:rsidR="00BF286F" w:rsidRDefault="00BF286F" w:rsidP="003D70B5">
      <w:pPr>
        <w:pStyle w:val="BodyText"/>
      </w:pPr>
      <w:r>
        <w:t xml:space="preserve">For an example of how the spreadsheet could be extended further see the then </w:t>
      </w:r>
      <w:r w:rsidRPr="00B31E85">
        <w:t xml:space="preserve">Department of Public Works’ </w:t>
      </w:r>
      <w:r w:rsidRPr="00B31E85">
        <w:rPr>
          <w:i/>
        </w:rPr>
        <w:t>QGEA implementation prioritisation template</w:t>
      </w:r>
      <w:r>
        <w:t xml:space="preserve"> in the </w:t>
      </w:r>
      <w:hyperlink r:id="rId21" w:anchor="letter_Q" w:history="1">
        <w:r w:rsidRPr="00BD5C69">
          <w:rPr>
            <w:rStyle w:val="Hyperlink"/>
          </w:rPr>
          <w:t>QGCIO Knowledge base</w:t>
        </w:r>
      </w:hyperlink>
      <w:r w:rsidR="006D3EBA">
        <w:t xml:space="preserve"> (Queensland Government employees only)</w:t>
      </w:r>
      <w:r>
        <w:t>.</w:t>
      </w:r>
    </w:p>
    <w:p w14:paraId="481A3E49" w14:textId="77777777" w:rsidR="003D70B5" w:rsidRDefault="003D70B5" w:rsidP="003D70B5">
      <w:pPr>
        <w:pStyle w:val="Heading4"/>
        <w:numPr>
          <w:ilvl w:val="3"/>
          <w:numId w:val="19"/>
        </w:numPr>
      </w:pPr>
      <w:r>
        <w:t>2. Do I have to use this technique?</w:t>
      </w:r>
    </w:p>
    <w:p w14:paraId="31D4553B" w14:textId="77777777" w:rsidR="003D70B5" w:rsidRDefault="003D70B5" w:rsidP="003D70B5">
      <w:pPr>
        <w:pStyle w:val="BodyText"/>
      </w:pPr>
      <w:r>
        <w:t>No. Your department may have an alternative method for planning implementation of the QGEA (e.g. risk assessment).</w:t>
      </w:r>
    </w:p>
    <w:p w14:paraId="39D682B0" w14:textId="77777777" w:rsidR="003D70B5" w:rsidRDefault="003D70B5" w:rsidP="003D70B5">
      <w:pPr>
        <w:pStyle w:val="Heading4"/>
        <w:numPr>
          <w:ilvl w:val="3"/>
          <w:numId w:val="19"/>
        </w:numPr>
      </w:pPr>
      <w:r>
        <w:t xml:space="preserve">3. How else can I use the QGEA implementation </w:t>
      </w:r>
      <w:proofErr w:type="spellStart"/>
      <w:r>
        <w:t>prioritisation</w:t>
      </w:r>
      <w:proofErr w:type="spellEnd"/>
      <w:r>
        <w:t xml:space="preserve"> tool?</w:t>
      </w:r>
    </w:p>
    <w:p w14:paraId="75607400" w14:textId="77777777" w:rsidR="003D70B5" w:rsidRDefault="003D70B5" w:rsidP="003D70B5">
      <w:pPr>
        <w:pStyle w:val="BodyText"/>
      </w:pPr>
      <w:r>
        <w:t>Some options include:</w:t>
      </w:r>
    </w:p>
    <w:p w14:paraId="104F0A94" w14:textId="77777777" w:rsidR="003D70B5" w:rsidRDefault="003D70B5" w:rsidP="003D70B5">
      <w:pPr>
        <w:pStyle w:val="Bulletcircle"/>
      </w:pPr>
      <w:r>
        <w:t>prioritisation of all compliance requirements (i.e. requirements other than the QGEA)</w:t>
      </w:r>
    </w:p>
    <w:p w14:paraId="43559CDE" w14:textId="77777777" w:rsidR="003D70B5" w:rsidRPr="00F447D6" w:rsidRDefault="003D70B5" w:rsidP="003D70B5">
      <w:pPr>
        <w:pStyle w:val="Bulletcircle"/>
      </w:pPr>
      <w:r w:rsidRPr="00F447D6">
        <w:t>to assess the impact of proposed or revised QGEA policies at consultation</w:t>
      </w:r>
      <w:r>
        <w:t>.</w:t>
      </w:r>
    </w:p>
    <w:p w14:paraId="466FC6F7" w14:textId="77777777" w:rsidR="003D70B5" w:rsidRDefault="003D70B5" w:rsidP="003D70B5">
      <w:pPr>
        <w:pStyle w:val="Heading4"/>
        <w:numPr>
          <w:ilvl w:val="3"/>
          <w:numId w:val="19"/>
        </w:numPr>
      </w:pPr>
      <w:r>
        <w:lastRenderedPageBreak/>
        <w:t>4. How can I consider the impact of change to my department in an implementation plan?</w:t>
      </w:r>
    </w:p>
    <w:p w14:paraId="4930D529" w14:textId="77777777" w:rsidR="003D70B5" w:rsidRDefault="003D70B5" w:rsidP="003D70B5">
      <w:pPr>
        <w:pStyle w:val="BodyText"/>
      </w:pPr>
      <w:r w:rsidRPr="00587362">
        <w:t>An approach is available in 'Part C Appendix M Portfolio assessment mo</w:t>
      </w:r>
      <w:r>
        <w:t xml:space="preserve">dels - The Cranfield grid' </w:t>
      </w:r>
      <w:r w:rsidRPr="00587362">
        <w:t xml:space="preserve">within the </w:t>
      </w:r>
      <w:hyperlink r:id="rId22" w:anchor="letter_I" w:history="1">
        <w:r w:rsidRPr="00B31E85">
          <w:rPr>
            <w:rStyle w:val="Hyperlink"/>
          </w:rPr>
          <w:t>ICT Planning Methodology</w:t>
        </w:r>
      </w:hyperlink>
      <w:r w:rsidR="006D3EBA">
        <w:t xml:space="preserve"> (QGCIO Knowledge base-Queensland Government employees only)</w:t>
      </w:r>
      <w:r w:rsidRPr="00587362">
        <w:t>.</w:t>
      </w:r>
    </w:p>
    <w:p w14:paraId="716E6128" w14:textId="77777777" w:rsidR="003D70B5" w:rsidRDefault="003D70B5" w:rsidP="003D70B5">
      <w:pPr>
        <w:pStyle w:val="Heading4"/>
        <w:numPr>
          <w:ilvl w:val="3"/>
          <w:numId w:val="19"/>
        </w:numPr>
      </w:pPr>
      <w:r>
        <w:t>5. T</w:t>
      </w:r>
      <w:r w:rsidRPr="00587362">
        <w:t xml:space="preserve">he hold quadrant seems problematic given that all QGEA policies </w:t>
      </w:r>
      <w:r>
        <w:t>are mandatory</w:t>
      </w:r>
      <w:r w:rsidRPr="00587362">
        <w:t xml:space="preserve">. It is unlikely that my </w:t>
      </w:r>
      <w:r>
        <w:t>department</w:t>
      </w:r>
      <w:r w:rsidRPr="00587362">
        <w:t xml:space="preserve"> would address policies that fall within this quadrant.</w:t>
      </w:r>
    </w:p>
    <w:p w14:paraId="32921E83" w14:textId="77777777" w:rsidR="003D70B5" w:rsidRPr="00587362" w:rsidRDefault="003D70B5" w:rsidP="003D70B5">
      <w:pPr>
        <w:pStyle w:val="BodyText"/>
        <w:rPr>
          <w:highlight w:val="yellow"/>
        </w:rPr>
      </w:pPr>
      <w:r w:rsidRPr="00587362">
        <w:t xml:space="preserve">The results are indicators of priority only. </w:t>
      </w:r>
      <w:r>
        <w:t>Further i</w:t>
      </w:r>
      <w:r w:rsidRPr="00587362">
        <w:t>t is anticipated that very few QGEA policies would fall</w:t>
      </w:r>
      <w:r>
        <w:t xml:space="preserve"> within the hold quadrant. T</w:t>
      </w:r>
      <w:r w:rsidRPr="00587362">
        <w:t xml:space="preserve">hose </w:t>
      </w:r>
      <w:r>
        <w:t>QGEA policies that do</w:t>
      </w:r>
      <w:r w:rsidRPr="00587362">
        <w:t xml:space="preserve"> will need to be reassessed periodically (e.g. every </w:t>
      </w:r>
      <w:r>
        <w:t xml:space="preserve">six to </w:t>
      </w:r>
      <w:r w:rsidRPr="00587362">
        <w:t xml:space="preserve">12 months). This is because as the </w:t>
      </w:r>
      <w:r>
        <w:t>department</w:t>
      </w:r>
      <w:r w:rsidRPr="00587362">
        <w:t xml:space="preserve"> progresses implementation of those QGEA policies that fall in higher priority quadrants the achievability of implementing that particular policy should increase. Likewise, changes in whol</w:t>
      </w:r>
      <w:r>
        <w:t>e-of-Government priorities and departmental</w:t>
      </w:r>
      <w:r w:rsidRPr="00587362">
        <w:t xml:space="preserve"> priorities may make implementation more attractive. If your </w:t>
      </w:r>
      <w:r>
        <w:t>department</w:t>
      </w:r>
      <w:r w:rsidRPr="00587362">
        <w:t xml:space="preserve"> expects that they are not going to meet policy implementation timeframes an </w:t>
      </w:r>
      <w:hyperlink r:id="rId23" w:history="1">
        <w:r w:rsidRPr="005133DB">
          <w:rPr>
            <w:rStyle w:val="Hyperlink"/>
          </w:rPr>
          <w:t>exception</w:t>
        </w:r>
      </w:hyperlink>
      <w:r w:rsidRPr="00587362">
        <w:t xml:space="preserve"> should be sought. </w:t>
      </w:r>
    </w:p>
    <w:sectPr w:rsidR="003D70B5" w:rsidRPr="00587362" w:rsidSect="00B5132B">
      <w:headerReference w:type="even" r:id="rId24"/>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A0CC" w14:textId="77777777" w:rsidR="00402FA7" w:rsidRDefault="00402FA7" w:rsidP="00766CCB">
      <w:r>
        <w:separator/>
      </w:r>
    </w:p>
    <w:p w14:paraId="4A157000" w14:textId="77777777" w:rsidR="00402FA7" w:rsidRDefault="00402FA7" w:rsidP="00766CCB"/>
    <w:p w14:paraId="33768B30" w14:textId="77777777" w:rsidR="00402FA7" w:rsidRDefault="00402FA7" w:rsidP="00766CCB"/>
    <w:p w14:paraId="65C68C73" w14:textId="77777777" w:rsidR="00402FA7" w:rsidRDefault="00402FA7" w:rsidP="00766CCB"/>
  </w:endnote>
  <w:endnote w:type="continuationSeparator" w:id="0">
    <w:p w14:paraId="5EC08873" w14:textId="77777777" w:rsidR="00402FA7" w:rsidRDefault="00402FA7" w:rsidP="00766CCB">
      <w:r>
        <w:continuationSeparator/>
      </w:r>
    </w:p>
    <w:p w14:paraId="1B3F7CDF" w14:textId="77777777" w:rsidR="00402FA7" w:rsidRDefault="00402FA7" w:rsidP="00766CCB"/>
    <w:p w14:paraId="6DA6295C" w14:textId="77777777" w:rsidR="00402FA7" w:rsidRDefault="00402FA7" w:rsidP="00766CCB"/>
    <w:p w14:paraId="1A8DB106" w14:textId="77777777" w:rsidR="00402FA7" w:rsidRDefault="00402FA7"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etaOT-Nor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7B68" w14:textId="77777777" w:rsidR="003D70B5" w:rsidRPr="0068366C" w:rsidRDefault="00892A02" w:rsidP="006517B2">
    <w:pPr>
      <w:pStyle w:val="Footerred"/>
      <w:rPr>
        <w:color w:val="A6A6A6"/>
      </w:rPr>
    </w:pPr>
    <w:r>
      <w:rPr>
        <w:caps w:val="0"/>
        <w:color w:val="A6A6A6"/>
      </w:rPr>
      <w:t>Final</w:t>
    </w:r>
    <w:r w:rsidR="003D70B5" w:rsidRPr="0068366C">
      <w:rPr>
        <w:caps w:val="0"/>
        <w:color w:val="A6A6A6"/>
      </w:rPr>
      <w:t xml:space="preserve"> </w:t>
    </w:r>
    <w:r w:rsidR="003D70B5" w:rsidRPr="0068366C">
      <w:rPr>
        <w:rFonts w:cs="Arial"/>
        <w:caps w:val="0"/>
        <w:color w:val="A6A6A6"/>
      </w:rPr>
      <w:t>|</w:t>
    </w:r>
    <w:r w:rsidR="00B31E85">
      <w:rPr>
        <w:rFonts w:cs="Arial"/>
        <w:caps w:val="0"/>
        <w:color w:val="A6A6A6"/>
      </w:rPr>
      <w:t xml:space="preserve"> </w:t>
    </w:r>
    <w:r w:rsidR="00A17274" w:rsidRPr="0068366C">
      <w:rPr>
        <w:rFonts w:cs="Arial"/>
        <w:caps w:val="0"/>
        <w:color w:val="A6A6A6"/>
      </w:rPr>
      <w:t>v1.0.1</w:t>
    </w:r>
    <w:r w:rsidR="003D70B5" w:rsidRPr="0068366C">
      <w:rPr>
        <w:caps w:val="0"/>
        <w:color w:val="A6A6A6"/>
      </w:rPr>
      <w:t xml:space="preserve"> </w:t>
    </w:r>
    <w:r w:rsidR="003D70B5" w:rsidRPr="0068366C">
      <w:rPr>
        <w:rFonts w:cs="Arial"/>
        <w:caps w:val="0"/>
        <w:color w:val="A6A6A6"/>
      </w:rPr>
      <w:t>|</w:t>
    </w:r>
    <w:r w:rsidR="003D70B5" w:rsidRPr="0068366C">
      <w:rPr>
        <w:caps w:val="0"/>
        <w:color w:val="A6A6A6"/>
      </w:rPr>
      <w:t xml:space="preserve"> </w:t>
    </w:r>
    <w:r w:rsidR="00A17274" w:rsidRPr="0068366C">
      <w:rPr>
        <w:caps w:val="0"/>
        <w:color w:val="A6A6A6"/>
      </w:rPr>
      <w:t>April 2013</w:t>
    </w:r>
    <w:r w:rsidR="003D70B5" w:rsidRPr="0068366C">
      <w:rPr>
        <w:color w:val="A6A6A6"/>
      </w:rPr>
      <w:t xml:space="preserve"> </w:t>
    </w:r>
    <w:r w:rsidR="003D70B5" w:rsidRPr="0068366C">
      <w:rPr>
        <w:color w:val="A6A6A6"/>
      </w:rPr>
      <w:tab/>
    </w:r>
    <w:r w:rsidR="003D70B5" w:rsidRPr="0068366C">
      <w:rPr>
        <w:color w:val="A6A6A6"/>
      </w:rPr>
      <w:tab/>
    </w:r>
    <w:r w:rsidR="003D70B5" w:rsidRPr="0068366C">
      <w:rPr>
        <w:caps w:val="0"/>
        <w:color w:val="A6A6A6"/>
      </w:rPr>
      <w:t xml:space="preserve">Page </w:t>
    </w:r>
    <w:r w:rsidR="003D70B5" w:rsidRPr="0068366C">
      <w:rPr>
        <w:caps w:val="0"/>
        <w:color w:val="A6A6A6"/>
      </w:rPr>
      <w:fldChar w:fldCharType="begin"/>
    </w:r>
    <w:r w:rsidR="003D70B5" w:rsidRPr="0068366C">
      <w:rPr>
        <w:caps w:val="0"/>
        <w:color w:val="A6A6A6"/>
      </w:rPr>
      <w:instrText xml:space="preserve"> PAGE </w:instrText>
    </w:r>
    <w:r w:rsidR="003D70B5" w:rsidRPr="0068366C">
      <w:rPr>
        <w:caps w:val="0"/>
        <w:color w:val="A6A6A6"/>
      </w:rPr>
      <w:fldChar w:fldCharType="separate"/>
    </w:r>
    <w:r w:rsidR="00431477">
      <w:rPr>
        <w:caps w:val="0"/>
        <w:noProof/>
        <w:color w:val="A6A6A6"/>
      </w:rPr>
      <w:t>3</w:t>
    </w:r>
    <w:r w:rsidR="003D70B5" w:rsidRPr="0068366C">
      <w:rPr>
        <w:caps w:val="0"/>
        <w:color w:val="A6A6A6"/>
      </w:rPr>
      <w:fldChar w:fldCharType="end"/>
    </w:r>
    <w:r w:rsidR="003D70B5" w:rsidRPr="0068366C">
      <w:rPr>
        <w:caps w:val="0"/>
        <w:color w:val="A6A6A6"/>
      </w:rPr>
      <w:t xml:space="preserve"> of </w:t>
    </w:r>
    <w:r w:rsidR="003D70B5" w:rsidRPr="0068366C">
      <w:rPr>
        <w:caps w:val="0"/>
        <w:color w:val="A6A6A6"/>
      </w:rPr>
      <w:fldChar w:fldCharType="begin"/>
    </w:r>
    <w:r w:rsidR="003D70B5" w:rsidRPr="0068366C">
      <w:rPr>
        <w:caps w:val="0"/>
        <w:color w:val="A6A6A6"/>
      </w:rPr>
      <w:instrText xml:space="preserve"> NUMPAGES </w:instrText>
    </w:r>
    <w:r w:rsidR="003D70B5" w:rsidRPr="0068366C">
      <w:rPr>
        <w:caps w:val="0"/>
        <w:color w:val="A6A6A6"/>
      </w:rPr>
      <w:fldChar w:fldCharType="separate"/>
    </w:r>
    <w:r w:rsidR="00431477">
      <w:rPr>
        <w:caps w:val="0"/>
        <w:noProof/>
        <w:color w:val="A6A6A6"/>
      </w:rPr>
      <w:t>9</w:t>
    </w:r>
    <w:r w:rsidR="003D70B5" w:rsidRPr="0068366C">
      <w:rPr>
        <w:caps w:val="0"/>
        <w:color w:val="A6A6A6"/>
      </w:rPr>
      <w:fldChar w:fldCharType="end"/>
    </w:r>
  </w:p>
  <w:p w14:paraId="62F03360" w14:textId="135027C4" w:rsidR="003D70B5" w:rsidRPr="006E37B9" w:rsidRDefault="00892A02" w:rsidP="006517B2">
    <w:pPr>
      <w:pStyle w:val="Footerred"/>
      <w:jc w:val="center"/>
    </w:pPr>
    <w:r>
      <w:t xml:space="preserve">OFFICIAL </w:t>
    </w:r>
    <w:r w:rsidR="000A055C">
      <w:t xml:space="preserve">- </w:t>
    </w:r>
    <w:r w:rsidR="000A055C" w:rsidRPr="000A055C">
      <w:rPr>
        <w: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0B8" w14:textId="77777777" w:rsidR="003D70B5" w:rsidRDefault="006D3EBA" w:rsidP="006517B2">
    <w:pPr>
      <w:pStyle w:val="Footer"/>
      <w:pBdr>
        <w:top w:val="none" w:sz="0" w:space="0" w:color="auto"/>
      </w:pBdr>
    </w:pPr>
    <w:r>
      <w:rPr>
        <w:noProof/>
      </w:rPr>
      <w:drawing>
        <wp:anchor distT="0" distB="0" distL="114300" distR="114300" simplePos="0" relativeHeight="251657728" behindDoc="1" locked="0" layoutInCell="1" allowOverlap="1" wp14:anchorId="484C8352" wp14:editId="3A56C68B">
          <wp:simplePos x="0" y="0"/>
          <wp:positionH relativeFrom="page">
            <wp:posOffset>6296025</wp:posOffset>
          </wp:positionH>
          <wp:positionV relativeFrom="page">
            <wp:posOffset>9613265</wp:posOffset>
          </wp:positionV>
          <wp:extent cx="661670" cy="904875"/>
          <wp:effectExtent l="0" t="0" r="0" b="0"/>
          <wp:wrapNone/>
          <wp:docPr id="4" name="Picture 4"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a:blip r:embed="rId1">
                    <a:extLst>
                      <a:ext uri="{28A0092B-C50C-407E-A947-70E740481C1C}">
                        <a14:useLocalDpi xmlns:a14="http://schemas.microsoft.com/office/drawing/2010/main" val="0"/>
                      </a:ext>
                    </a:extLst>
                  </a:blip>
                  <a:srcRect l="85748" r="4865"/>
                  <a:stretch>
                    <a:fillRect/>
                  </a:stretch>
                </pic:blipFill>
                <pic:spPr bwMode="auto">
                  <a:xfrm>
                    <a:off x="0" y="0"/>
                    <a:ext cx="661670" cy="904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3BE9" w14:textId="77777777" w:rsidR="00402FA7" w:rsidRDefault="00402FA7" w:rsidP="00766CCB">
      <w:r>
        <w:separator/>
      </w:r>
    </w:p>
  </w:footnote>
  <w:footnote w:type="continuationSeparator" w:id="0">
    <w:p w14:paraId="3B9167F9" w14:textId="77777777" w:rsidR="00402FA7" w:rsidRDefault="00402FA7" w:rsidP="00766CCB">
      <w:r>
        <w:continuationSeparator/>
      </w:r>
    </w:p>
  </w:footnote>
  <w:footnote w:type="continuationNotice" w:id="1">
    <w:p w14:paraId="649483DC" w14:textId="77777777" w:rsidR="00402FA7" w:rsidRDefault="00402FA7" w:rsidP="00766CCB"/>
  </w:footnote>
  <w:footnote w:id="2">
    <w:p w14:paraId="2E0B8F99" w14:textId="77777777" w:rsidR="003D70B5" w:rsidRDefault="003D70B5" w:rsidP="003D70B5">
      <w:pPr>
        <w:pStyle w:val="FootnoteText"/>
      </w:pPr>
      <w:r>
        <w:rPr>
          <w:rStyle w:val="FootnoteReference"/>
        </w:rPr>
        <w:footnoteRef/>
      </w:r>
      <w:r>
        <w:t xml:space="preserve"> Refer to FAQ number 5 on page 10 for further information regarding the Hold quadrant.</w:t>
      </w:r>
    </w:p>
  </w:footnote>
  <w:footnote w:id="3">
    <w:p w14:paraId="0C90B6E7" w14:textId="77777777" w:rsidR="003D70B5" w:rsidRPr="00AB5A05" w:rsidRDefault="003D70B5" w:rsidP="003D70B5">
      <w:pPr>
        <w:pStyle w:val="FootnoteText"/>
      </w:pPr>
      <w:r>
        <w:rPr>
          <w:rStyle w:val="FootnoteReference"/>
        </w:rPr>
        <w:footnoteRef/>
      </w:r>
      <w:r>
        <w:t xml:space="preserve"> The linear distance calculation is based on an algebraic calculation of the distance between two points. The formula for calculating the linear distance is √(6-a)</w:t>
      </w:r>
      <w:r w:rsidRPr="0017013C">
        <w:rPr>
          <w:vertAlign w:val="superscript"/>
        </w:rPr>
        <w:t>2</w:t>
      </w:r>
      <w:r>
        <w:t>+(6-b)</w:t>
      </w:r>
      <w:r w:rsidRPr="00AB5A05">
        <w:rPr>
          <w:vertAlign w:val="superscript"/>
        </w:rPr>
        <w:t>2</w:t>
      </w:r>
      <w:r>
        <w:t xml:space="preserve"> where a=attractiveness and b=achievability.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E4DE" w14:textId="1B296358" w:rsidR="003D70B5" w:rsidRDefault="003D70B5" w:rsidP="006517B2">
    <w:pPr>
      <w:pStyle w:val="Header"/>
      <w:tabs>
        <w:tab w:val="clear" w:pos="4153"/>
        <w:tab w:val="clear" w:pos="8306"/>
        <w:tab w:val="center" w:pos="4820"/>
        <w:tab w:val="right" w:pos="9639"/>
      </w:tabs>
    </w:pPr>
    <w:r>
      <w:t>QGEA</w:t>
    </w:r>
    <w:r>
      <w:tab/>
    </w:r>
    <w:r w:rsidR="00892A02">
      <w:rPr>
        <w:color w:val="FF0000"/>
        <w:sz w:val="16"/>
        <w:szCs w:val="16"/>
      </w:rPr>
      <w:t>OFFICIAL</w:t>
    </w:r>
    <w:r w:rsidR="000A055C">
      <w:rPr>
        <w:color w:val="FF0000"/>
        <w:sz w:val="16"/>
        <w:szCs w:val="16"/>
      </w:rPr>
      <w:t xml:space="preserve"> – Public</w:t>
    </w:r>
    <w:r>
      <w:tab/>
    </w:r>
    <w:r w:rsidR="009B1D36">
      <w:t>Implementation prioritisation tech</w:t>
    </w:r>
    <w:r w:rsidR="00B31E85">
      <w:t>nique</w:t>
    </w:r>
    <w:r w:rsidR="009B1D3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8E6E" w14:textId="77777777" w:rsidR="003D70B5" w:rsidRDefault="006D3EBA" w:rsidP="006517B2">
    <w:pPr>
      <w:pStyle w:val="Header"/>
      <w:pBdr>
        <w:bottom w:val="none" w:sz="0" w:space="0" w:color="auto"/>
      </w:pBdr>
    </w:pPr>
    <w:r>
      <w:rPr>
        <w:noProof/>
      </w:rPr>
      <mc:AlternateContent>
        <mc:Choice Requires="wps">
          <w:drawing>
            <wp:anchor distT="45720" distB="45720" distL="114300" distR="114300" simplePos="0" relativeHeight="251660800" behindDoc="0" locked="0" layoutInCell="1" allowOverlap="1" wp14:anchorId="0B74F001" wp14:editId="202815C1">
              <wp:simplePos x="0" y="0"/>
              <wp:positionH relativeFrom="margin">
                <wp:posOffset>-495300</wp:posOffset>
              </wp:positionH>
              <wp:positionV relativeFrom="paragraph">
                <wp:posOffset>355600</wp:posOffset>
              </wp:positionV>
              <wp:extent cx="7075805"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285750"/>
                      </a:xfrm>
                      <a:prstGeom prst="rect">
                        <a:avLst/>
                      </a:prstGeom>
                      <a:solidFill>
                        <a:srgbClr val="003E68"/>
                      </a:solidFill>
                      <a:ln w="9525">
                        <a:noFill/>
                        <a:miter lim="800000"/>
                        <a:headEnd/>
                        <a:tailEnd/>
                      </a:ln>
                    </wps:spPr>
                    <wps:txbx>
                      <w:txbxContent>
                        <w:p w14:paraId="00BF36D0" w14:textId="77777777" w:rsidR="00892A02" w:rsidRPr="008B40F8" w:rsidRDefault="00892A02" w:rsidP="00892A02">
                          <w:pPr>
                            <w:spacing w:before="0" w:after="60"/>
                            <w:jc w:val="right"/>
                            <w:rPr>
                              <w:rFonts w:cs="Arial"/>
                              <w:sz w:val="26"/>
                              <w:szCs w:val="26"/>
                            </w:rPr>
                          </w:pPr>
                          <w:r w:rsidRPr="008B40F8">
                            <w:rPr>
                              <w:rFonts w:cs="Arial"/>
                              <w:sz w:val="26"/>
                              <w:szCs w:val="26"/>
                            </w:rPr>
                            <w:t>Queensland Government Enterprise Architecture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4F001" id="_x0000_t202" coordsize="21600,21600" o:spt="202" path="m,l,21600r21600,l21600,xe">
              <v:stroke joinstyle="miter"/>
              <v:path gradientshapeok="t" o:connecttype="rect"/>
            </v:shapetype>
            <v:shape id="Text Box 2" o:spid="_x0000_s1026" type="#_x0000_t202" style="position:absolute;margin-left:-39pt;margin-top:28pt;width:557.15pt;height: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" fillcolor="#003e68" stroked="f">
              <v:textbox>
                <w:txbxContent>
                  <w:p w14:paraId="00BF36D0" w14:textId="77777777" w:rsidR="00892A02" w:rsidRPr="008B40F8" w:rsidRDefault="00892A02" w:rsidP="00892A02">
                    <w:pPr>
                      <w:spacing w:before="0" w:after="60"/>
                      <w:jc w:val="right"/>
                      <w:rPr>
                        <w:rFonts w:cs="Arial"/>
                        <w:sz w:val="26"/>
                        <w:szCs w:val="26"/>
                      </w:rPr>
                    </w:pPr>
                    <w:r w:rsidRPr="008B40F8">
                      <w:rPr>
                        <w:rFonts w:cs="Arial"/>
                        <w:sz w:val="26"/>
                        <w:szCs w:val="26"/>
                      </w:rPr>
                      <w:t>Queensland Government Enterprise Architecture</w:t>
                    </w:r>
                  </w:p>
                </w:txbxContent>
              </v:textbox>
              <w10:wrap type="square" anchorx="margin"/>
            </v:shape>
          </w:pict>
        </mc:Fallback>
      </mc:AlternateContent>
    </w:r>
    <w:r>
      <w:rPr>
        <w:noProof/>
      </w:rPr>
      <w:drawing>
        <wp:anchor distT="0" distB="0" distL="114300" distR="114300" simplePos="0" relativeHeight="251656704" behindDoc="1" locked="0" layoutInCell="1" allowOverlap="1" wp14:anchorId="3CD75A37" wp14:editId="2CACC64D">
          <wp:simplePos x="0" y="0"/>
          <wp:positionH relativeFrom="page">
            <wp:posOffset>252095</wp:posOffset>
          </wp:positionH>
          <wp:positionV relativeFrom="page">
            <wp:posOffset>607695</wp:posOffset>
          </wp:positionV>
          <wp:extent cx="7056120" cy="6896100"/>
          <wp:effectExtent l="0" t="0" r="0" b="0"/>
          <wp:wrapNone/>
          <wp:docPr id="3" name="Picture 3" descr="QGCIO-branding-Q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CIO-branding-QGEA"/>
                  <pic:cNvPicPr>
                    <a:picLocks noChangeAspect="1" noChangeArrowheads="1"/>
                  </pic:cNvPicPr>
                </pic:nvPicPr>
                <pic:blipFill>
                  <a:blip r:embed="rId1">
                    <a:extLst>
                      <a:ext uri="{28A0092B-C50C-407E-A947-70E740481C1C}">
                        <a14:useLocalDpi xmlns:a14="http://schemas.microsoft.com/office/drawing/2010/main" val="0"/>
                      </a:ext>
                    </a:extLst>
                  </a:blip>
                  <a:srcRect t="3467"/>
                  <a:stretch>
                    <a:fillRect/>
                  </a:stretch>
                </pic:blipFill>
                <pic:spPr bwMode="auto">
                  <a:xfrm>
                    <a:off x="0" y="0"/>
                    <a:ext cx="7056120" cy="6896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7B403509" wp14:editId="693F9BE5">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6A88" w14:textId="77777777" w:rsidR="003D70B5" w:rsidRPr="00A867F7" w:rsidRDefault="003D70B5"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3509" id="Text Box 5" o:spid="_x0000_s1027" type="#_x0000_t202" style="position:absolute;margin-left:48.2pt;margin-top:754.95pt;width:180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" filled="f" stroked="f">
              <v:textbox inset="0,0,0,0">
                <w:txbxContent>
                  <w:p w14:paraId="09766A88" w14:textId="77777777" w:rsidR="003D70B5" w:rsidRPr="00A867F7" w:rsidRDefault="003D70B5" w:rsidP="00766CCB">
                    <w:pPr>
                      <w:rPr>
                        <w:rStyle w:val="Titlepageinfo"/>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08F" w14:textId="77777777" w:rsidR="003D70B5" w:rsidRDefault="003D70B5" w:rsidP="00766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2C71"/>
    <w:multiLevelType w:val="multilevel"/>
    <w:tmpl w:val="B92C84B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11FB6BBC"/>
    <w:multiLevelType w:val="multilevel"/>
    <w:tmpl w:val="C28E59E8"/>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auto"/>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3" w15:restartNumberingAfterBreak="0">
    <w:nsid w:val="127F548B"/>
    <w:multiLevelType w:val="multilevel"/>
    <w:tmpl w:val="CD220B08"/>
    <w:lvl w:ilvl="0">
      <w:start w:val="1"/>
      <w:numFmt w:val="bullet"/>
      <w:pStyle w:val="Bullet1"/>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5" w15:restartNumberingAfterBreak="0">
    <w:nsid w:val="1D305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932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231E5"/>
    <w:multiLevelType w:val="multilevel"/>
    <w:tmpl w:val="BF42E764"/>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o"/>
      <w:lvlJc w:val="left"/>
      <w:pPr>
        <w:tabs>
          <w:tab w:val="num" w:pos="1985"/>
        </w:tabs>
        <w:ind w:left="1985" w:hanging="426"/>
      </w:pPr>
      <w:rPr>
        <w:rFonts w:ascii="Courier New" w:hAnsi="Courier New" w:cs="Courier New"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9"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0"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FD5E2B"/>
    <w:multiLevelType w:val="hybridMultilevel"/>
    <w:tmpl w:val="3D68277E"/>
    <w:lvl w:ilvl="0" w:tplc="D4CE6D0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0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46621CE"/>
    <w:multiLevelType w:val="multilevel"/>
    <w:tmpl w:val="65AAA9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5" w15:restartNumberingAfterBreak="0">
    <w:nsid w:val="57BE5FC0"/>
    <w:multiLevelType w:val="multilevel"/>
    <w:tmpl w:val="DEF4B5AA"/>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6"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0"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1"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27"/>
  </w:num>
  <w:num w:numId="14">
    <w:abstractNumId w:val="19"/>
  </w:num>
  <w:num w:numId="15">
    <w:abstractNumId w:val="29"/>
  </w:num>
  <w:num w:numId="16">
    <w:abstractNumId w:val="28"/>
  </w:num>
  <w:num w:numId="17">
    <w:abstractNumId w:val="30"/>
  </w:num>
  <w:num w:numId="18">
    <w:abstractNumId w:val="25"/>
  </w:num>
  <w:num w:numId="19">
    <w:abstractNumId w:val="24"/>
  </w:num>
  <w:num w:numId="20">
    <w:abstractNumId w:val="11"/>
  </w:num>
  <w:num w:numId="21">
    <w:abstractNumId w:val="15"/>
  </w:num>
  <w:num w:numId="22">
    <w:abstractNumId w:val="22"/>
  </w:num>
  <w:num w:numId="23">
    <w:abstractNumId w:val="16"/>
  </w:num>
  <w:num w:numId="24">
    <w:abstractNumId w:val="18"/>
  </w:num>
  <w:num w:numId="25">
    <w:abstractNumId w:val="23"/>
  </w:num>
  <w:num w:numId="26">
    <w:abstractNumId w:val="13"/>
  </w:num>
  <w:num w:numId="27">
    <w:abstractNumId w:val="12"/>
  </w:num>
  <w:num w:numId="28">
    <w:abstractNumId w:val="31"/>
  </w:num>
  <w:num w:numId="29">
    <w:abstractNumId w:val="10"/>
  </w:num>
  <w:num w:numId="30">
    <w:abstractNumId w:val="14"/>
  </w:num>
  <w:num w:numId="31">
    <w:abstractNumId w:val="26"/>
  </w:num>
  <w:num w:numId="32">
    <w:abstractNumId w:val="21"/>
  </w:num>
  <w:num w:numId="33">
    <w:abstractNumId w:val="25"/>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EB"/>
    <w:rsid w:val="00010D0B"/>
    <w:rsid w:val="00013A6E"/>
    <w:rsid w:val="00023993"/>
    <w:rsid w:val="0003232D"/>
    <w:rsid w:val="000373DC"/>
    <w:rsid w:val="00045ECF"/>
    <w:rsid w:val="00055798"/>
    <w:rsid w:val="000624E0"/>
    <w:rsid w:val="000658E9"/>
    <w:rsid w:val="00067AC8"/>
    <w:rsid w:val="00076AFC"/>
    <w:rsid w:val="00084719"/>
    <w:rsid w:val="000852D2"/>
    <w:rsid w:val="000971C7"/>
    <w:rsid w:val="000A055C"/>
    <w:rsid w:val="000B13CF"/>
    <w:rsid w:val="000B62BB"/>
    <w:rsid w:val="000C0B75"/>
    <w:rsid w:val="000D158A"/>
    <w:rsid w:val="000D5487"/>
    <w:rsid w:val="000E2C15"/>
    <w:rsid w:val="000E4CEE"/>
    <w:rsid w:val="000E5D3E"/>
    <w:rsid w:val="000E655A"/>
    <w:rsid w:val="000F03BA"/>
    <w:rsid w:val="000F159E"/>
    <w:rsid w:val="00102AC2"/>
    <w:rsid w:val="00126CCE"/>
    <w:rsid w:val="001348ED"/>
    <w:rsid w:val="00142BBB"/>
    <w:rsid w:val="00143885"/>
    <w:rsid w:val="00145E41"/>
    <w:rsid w:val="00150A2F"/>
    <w:rsid w:val="0015571E"/>
    <w:rsid w:val="00157643"/>
    <w:rsid w:val="00161EDA"/>
    <w:rsid w:val="00162518"/>
    <w:rsid w:val="0016317D"/>
    <w:rsid w:val="0017064B"/>
    <w:rsid w:val="00176B29"/>
    <w:rsid w:val="00181374"/>
    <w:rsid w:val="00191E69"/>
    <w:rsid w:val="00192F10"/>
    <w:rsid w:val="0019483B"/>
    <w:rsid w:val="001A239C"/>
    <w:rsid w:val="001B02EA"/>
    <w:rsid w:val="001B130F"/>
    <w:rsid w:val="001B45D5"/>
    <w:rsid w:val="001C3407"/>
    <w:rsid w:val="001C3EC4"/>
    <w:rsid w:val="001C5E18"/>
    <w:rsid w:val="001C7971"/>
    <w:rsid w:val="001D0AB4"/>
    <w:rsid w:val="001D0B3B"/>
    <w:rsid w:val="001E4E73"/>
    <w:rsid w:val="001F5F67"/>
    <w:rsid w:val="001F5F8B"/>
    <w:rsid w:val="002071CB"/>
    <w:rsid w:val="002102A8"/>
    <w:rsid w:val="00213943"/>
    <w:rsid w:val="00217165"/>
    <w:rsid w:val="0022094E"/>
    <w:rsid w:val="00230ABD"/>
    <w:rsid w:val="00236698"/>
    <w:rsid w:val="00250E15"/>
    <w:rsid w:val="00251BA2"/>
    <w:rsid w:val="002549BE"/>
    <w:rsid w:val="00262BC5"/>
    <w:rsid w:val="002704F0"/>
    <w:rsid w:val="002714BB"/>
    <w:rsid w:val="00280BC6"/>
    <w:rsid w:val="00282E8A"/>
    <w:rsid w:val="00294748"/>
    <w:rsid w:val="00294F50"/>
    <w:rsid w:val="00296E03"/>
    <w:rsid w:val="002A49E3"/>
    <w:rsid w:val="002A69A8"/>
    <w:rsid w:val="002A758F"/>
    <w:rsid w:val="002B014A"/>
    <w:rsid w:val="002B4138"/>
    <w:rsid w:val="002C4084"/>
    <w:rsid w:val="002E5DE8"/>
    <w:rsid w:val="002F118D"/>
    <w:rsid w:val="002F6CD6"/>
    <w:rsid w:val="002F77AE"/>
    <w:rsid w:val="0031308B"/>
    <w:rsid w:val="0031375B"/>
    <w:rsid w:val="00321AFA"/>
    <w:rsid w:val="00335B2D"/>
    <w:rsid w:val="003436FE"/>
    <w:rsid w:val="0034633D"/>
    <w:rsid w:val="00371AD6"/>
    <w:rsid w:val="003759A6"/>
    <w:rsid w:val="00384FEB"/>
    <w:rsid w:val="00394EF0"/>
    <w:rsid w:val="0039642A"/>
    <w:rsid w:val="003A26F6"/>
    <w:rsid w:val="003A5399"/>
    <w:rsid w:val="003B1D7B"/>
    <w:rsid w:val="003B1F14"/>
    <w:rsid w:val="003B1F45"/>
    <w:rsid w:val="003B5C4B"/>
    <w:rsid w:val="003C3A7F"/>
    <w:rsid w:val="003D06B1"/>
    <w:rsid w:val="003D2B38"/>
    <w:rsid w:val="003D70B5"/>
    <w:rsid w:val="003E716D"/>
    <w:rsid w:val="003E735F"/>
    <w:rsid w:val="003F0240"/>
    <w:rsid w:val="003F3430"/>
    <w:rsid w:val="003F49D6"/>
    <w:rsid w:val="003F4D98"/>
    <w:rsid w:val="003F622F"/>
    <w:rsid w:val="00402910"/>
    <w:rsid w:val="00402FA7"/>
    <w:rsid w:val="00407D8F"/>
    <w:rsid w:val="00425443"/>
    <w:rsid w:val="00431477"/>
    <w:rsid w:val="00446E17"/>
    <w:rsid w:val="00465527"/>
    <w:rsid w:val="004A6FEB"/>
    <w:rsid w:val="004B14A0"/>
    <w:rsid w:val="004B283B"/>
    <w:rsid w:val="004C22CB"/>
    <w:rsid w:val="004C694F"/>
    <w:rsid w:val="004D2863"/>
    <w:rsid w:val="004D353E"/>
    <w:rsid w:val="004D3880"/>
    <w:rsid w:val="004D4323"/>
    <w:rsid w:val="004D63D6"/>
    <w:rsid w:val="004F0A9A"/>
    <w:rsid w:val="00503B8B"/>
    <w:rsid w:val="00505A43"/>
    <w:rsid w:val="00506597"/>
    <w:rsid w:val="005070CB"/>
    <w:rsid w:val="005133DB"/>
    <w:rsid w:val="00527E24"/>
    <w:rsid w:val="0053138B"/>
    <w:rsid w:val="00537EA2"/>
    <w:rsid w:val="005452FB"/>
    <w:rsid w:val="00560E74"/>
    <w:rsid w:val="00571312"/>
    <w:rsid w:val="005750A7"/>
    <w:rsid w:val="005757D8"/>
    <w:rsid w:val="005866FC"/>
    <w:rsid w:val="005908F1"/>
    <w:rsid w:val="00591588"/>
    <w:rsid w:val="005A54F1"/>
    <w:rsid w:val="005B3086"/>
    <w:rsid w:val="005D65A5"/>
    <w:rsid w:val="005E5065"/>
    <w:rsid w:val="005E7B99"/>
    <w:rsid w:val="005F62A1"/>
    <w:rsid w:val="00601AFD"/>
    <w:rsid w:val="00610FC6"/>
    <w:rsid w:val="00611131"/>
    <w:rsid w:val="00616B01"/>
    <w:rsid w:val="00625A55"/>
    <w:rsid w:val="006334ED"/>
    <w:rsid w:val="006364EA"/>
    <w:rsid w:val="0064176D"/>
    <w:rsid w:val="00641A40"/>
    <w:rsid w:val="00647D16"/>
    <w:rsid w:val="00650D7A"/>
    <w:rsid w:val="006517B2"/>
    <w:rsid w:val="00653A37"/>
    <w:rsid w:val="00656672"/>
    <w:rsid w:val="00663D57"/>
    <w:rsid w:val="00676FEE"/>
    <w:rsid w:val="00677657"/>
    <w:rsid w:val="00677B28"/>
    <w:rsid w:val="00680847"/>
    <w:rsid w:val="0068366C"/>
    <w:rsid w:val="00683E19"/>
    <w:rsid w:val="006910B3"/>
    <w:rsid w:val="006936C8"/>
    <w:rsid w:val="006952E2"/>
    <w:rsid w:val="006A4F21"/>
    <w:rsid w:val="006B22B2"/>
    <w:rsid w:val="006B2302"/>
    <w:rsid w:val="006B2826"/>
    <w:rsid w:val="006B6233"/>
    <w:rsid w:val="006C2FC2"/>
    <w:rsid w:val="006C7A5F"/>
    <w:rsid w:val="006D3EBA"/>
    <w:rsid w:val="006D5D95"/>
    <w:rsid w:val="006E37B9"/>
    <w:rsid w:val="006E466C"/>
    <w:rsid w:val="006F41C6"/>
    <w:rsid w:val="006F77F7"/>
    <w:rsid w:val="00700472"/>
    <w:rsid w:val="00700F1D"/>
    <w:rsid w:val="00702C47"/>
    <w:rsid w:val="00705373"/>
    <w:rsid w:val="00706A30"/>
    <w:rsid w:val="0072013F"/>
    <w:rsid w:val="00732EC2"/>
    <w:rsid w:val="00733482"/>
    <w:rsid w:val="007361B7"/>
    <w:rsid w:val="007416A3"/>
    <w:rsid w:val="00742E5B"/>
    <w:rsid w:val="00743696"/>
    <w:rsid w:val="007449DC"/>
    <w:rsid w:val="0074781B"/>
    <w:rsid w:val="00750113"/>
    <w:rsid w:val="00754C94"/>
    <w:rsid w:val="00754F1F"/>
    <w:rsid w:val="00757D2E"/>
    <w:rsid w:val="007659E1"/>
    <w:rsid w:val="00766CCB"/>
    <w:rsid w:val="00785E82"/>
    <w:rsid w:val="00785F19"/>
    <w:rsid w:val="007861C3"/>
    <w:rsid w:val="00793E52"/>
    <w:rsid w:val="007A041B"/>
    <w:rsid w:val="007A1E0A"/>
    <w:rsid w:val="007A3856"/>
    <w:rsid w:val="007A677D"/>
    <w:rsid w:val="007A7BB8"/>
    <w:rsid w:val="007B1A97"/>
    <w:rsid w:val="007B3412"/>
    <w:rsid w:val="007B5197"/>
    <w:rsid w:val="007C0FBB"/>
    <w:rsid w:val="007C5ED8"/>
    <w:rsid w:val="007D23D6"/>
    <w:rsid w:val="007D572A"/>
    <w:rsid w:val="007E6A6E"/>
    <w:rsid w:val="007F5483"/>
    <w:rsid w:val="00803DE2"/>
    <w:rsid w:val="00807132"/>
    <w:rsid w:val="00831408"/>
    <w:rsid w:val="00831C20"/>
    <w:rsid w:val="008328EC"/>
    <w:rsid w:val="00835906"/>
    <w:rsid w:val="008363A1"/>
    <w:rsid w:val="0083743C"/>
    <w:rsid w:val="00846079"/>
    <w:rsid w:val="00850ADC"/>
    <w:rsid w:val="008519A0"/>
    <w:rsid w:val="008730F0"/>
    <w:rsid w:val="008876B7"/>
    <w:rsid w:val="00892A02"/>
    <w:rsid w:val="008952B9"/>
    <w:rsid w:val="008959E0"/>
    <w:rsid w:val="008A6272"/>
    <w:rsid w:val="008B322D"/>
    <w:rsid w:val="008C052A"/>
    <w:rsid w:val="008C0A52"/>
    <w:rsid w:val="008C3B96"/>
    <w:rsid w:val="008C406A"/>
    <w:rsid w:val="008C4B33"/>
    <w:rsid w:val="008C689D"/>
    <w:rsid w:val="008C68F5"/>
    <w:rsid w:val="008E1070"/>
    <w:rsid w:val="008E196C"/>
    <w:rsid w:val="008E3100"/>
    <w:rsid w:val="008E63BF"/>
    <w:rsid w:val="008F0DF8"/>
    <w:rsid w:val="008F468B"/>
    <w:rsid w:val="008F6567"/>
    <w:rsid w:val="008F77FB"/>
    <w:rsid w:val="0090257C"/>
    <w:rsid w:val="009039E0"/>
    <w:rsid w:val="009123BB"/>
    <w:rsid w:val="009142A2"/>
    <w:rsid w:val="00916A2F"/>
    <w:rsid w:val="00920865"/>
    <w:rsid w:val="009445A0"/>
    <w:rsid w:val="009534F0"/>
    <w:rsid w:val="009570C4"/>
    <w:rsid w:val="00964758"/>
    <w:rsid w:val="009653D8"/>
    <w:rsid w:val="00967B4B"/>
    <w:rsid w:val="009702EA"/>
    <w:rsid w:val="00973DE6"/>
    <w:rsid w:val="009755F7"/>
    <w:rsid w:val="00975EF3"/>
    <w:rsid w:val="00984041"/>
    <w:rsid w:val="009A5B89"/>
    <w:rsid w:val="009B1D36"/>
    <w:rsid w:val="009C04C0"/>
    <w:rsid w:val="009D1A88"/>
    <w:rsid w:val="009D2237"/>
    <w:rsid w:val="009D233D"/>
    <w:rsid w:val="009D3F26"/>
    <w:rsid w:val="009E0E2C"/>
    <w:rsid w:val="009E22E2"/>
    <w:rsid w:val="009F00D3"/>
    <w:rsid w:val="009F289E"/>
    <w:rsid w:val="009F61C5"/>
    <w:rsid w:val="009F6F5D"/>
    <w:rsid w:val="009F7209"/>
    <w:rsid w:val="00A03E05"/>
    <w:rsid w:val="00A049F6"/>
    <w:rsid w:val="00A17274"/>
    <w:rsid w:val="00A17977"/>
    <w:rsid w:val="00A17D34"/>
    <w:rsid w:val="00A23244"/>
    <w:rsid w:val="00A2418A"/>
    <w:rsid w:val="00A37179"/>
    <w:rsid w:val="00A40349"/>
    <w:rsid w:val="00A4289A"/>
    <w:rsid w:val="00A42F6E"/>
    <w:rsid w:val="00A46C31"/>
    <w:rsid w:val="00A5303F"/>
    <w:rsid w:val="00A565FA"/>
    <w:rsid w:val="00A61C5B"/>
    <w:rsid w:val="00A62083"/>
    <w:rsid w:val="00A71094"/>
    <w:rsid w:val="00A74A36"/>
    <w:rsid w:val="00A920B8"/>
    <w:rsid w:val="00A94EA8"/>
    <w:rsid w:val="00A950AC"/>
    <w:rsid w:val="00A95B77"/>
    <w:rsid w:val="00AA4489"/>
    <w:rsid w:val="00AA49F7"/>
    <w:rsid w:val="00AA772E"/>
    <w:rsid w:val="00AB1085"/>
    <w:rsid w:val="00AC03F1"/>
    <w:rsid w:val="00AC46E8"/>
    <w:rsid w:val="00AC787F"/>
    <w:rsid w:val="00AD0A26"/>
    <w:rsid w:val="00AD3D11"/>
    <w:rsid w:val="00AD6087"/>
    <w:rsid w:val="00AE6D7D"/>
    <w:rsid w:val="00AF4AF7"/>
    <w:rsid w:val="00AF55DD"/>
    <w:rsid w:val="00B12296"/>
    <w:rsid w:val="00B155B4"/>
    <w:rsid w:val="00B21214"/>
    <w:rsid w:val="00B25278"/>
    <w:rsid w:val="00B2591C"/>
    <w:rsid w:val="00B30BCE"/>
    <w:rsid w:val="00B31E85"/>
    <w:rsid w:val="00B31FA8"/>
    <w:rsid w:val="00B34784"/>
    <w:rsid w:val="00B44DAE"/>
    <w:rsid w:val="00B47D03"/>
    <w:rsid w:val="00B5132B"/>
    <w:rsid w:val="00B53029"/>
    <w:rsid w:val="00B618DC"/>
    <w:rsid w:val="00B64DBC"/>
    <w:rsid w:val="00B70BAE"/>
    <w:rsid w:val="00B7315F"/>
    <w:rsid w:val="00B767E0"/>
    <w:rsid w:val="00B97C38"/>
    <w:rsid w:val="00BA1B72"/>
    <w:rsid w:val="00BB2720"/>
    <w:rsid w:val="00BB41D1"/>
    <w:rsid w:val="00BB472B"/>
    <w:rsid w:val="00BC2471"/>
    <w:rsid w:val="00BC3D84"/>
    <w:rsid w:val="00BD0119"/>
    <w:rsid w:val="00BD0C70"/>
    <w:rsid w:val="00BD48E2"/>
    <w:rsid w:val="00BD5C69"/>
    <w:rsid w:val="00BE120B"/>
    <w:rsid w:val="00BF083E"/>
    <w:rsid w:val="00BF286F"/>
    <w:rsid w:val="00BF4985"/>
    <w:rsid w:val="00BF62D8"/>
    <w:rsid w:val="00BF6FA0"/>
    <w:rsid w:val="00C0176B"/>
    <w:rsid w:val="00C02707"/>
    <w:rsid w:val="00C03CF2"/>
    <w:rsid w:val="00C04112"/>
    <w:rsid w:val="00C21003"/>
    <w:rsid w:val="00C314B4"/>
    <w:rsid w:val="00C4004B"/>
    <w:rsid w:val="00C400B3"/>
    <w:rsid w:val="00C40C29"/>
    <w:rsid w:val="00C43C82"/>
    <w:rsid w:val="00C4432A"/>
    <w:rsid w:val="00C61919"/>
    <w:rsid w:val="00C72637"/>
    <w:rsid w:val="00C80CC4"/>
    <w:rsid w:val="00CA23BE"/>
    <w:rsid w:val="00CA30A2"/>
    <w:rsid w:val="00CA72BA"/>
    <w:rsid w:val="00CA79F6"/>
    <w:rsid w:val="00CB5ADB"/>
    <w:rsid w:val="00CB7AFA"/>
    <w:rsid w:val="00CC7907"/>
    <w:rsid w:val="00CD0A7F"/>
    <w:rsid w:val="00D03743"/>
    <w:rsid w:val="00D1459E"/>
    <w:rsid w:val="00D16D58"/>
    <w:rsid w:val="00D23DDF"/>
    <w:rsid w:val="00D24DDF"/>
    <w:rsid w:val="00D34416"/>
    <w:rsid w:val="00D35B3E"/>
    <w:rsid w:val="00D40D58"/>
    <w:rsid w:val="00D431C0"/>
    <w:rsid w:val="00D4635A"/>
    <w:rsid w:val="00D545BE"/>
    <w:rsid w:val="00D56B8E"/>
    <w:rsid w:val="00D65970"/>
    <w:rsid w:val="00D74334"/>
    <w:rsid w:val="00D74FFD"/>
    <w:rsid w:val="00D751D9"/>
    <w:rsid w:val="00D76875"/>
    <w:rsid w:val="00D7711E"/>
    <w:rsid w:val="00D771C1"/>
    <w:rsid w:val="00D826F2"/>
    <w:rsid w:val="00D97333"/>
    <w:rsid w:val="00DA01C9"/>
    <w:rsid w:val="00DA0BD7"/>
    <w:rsid w:val="00DB10DB"/>
    <w:rsid w:val="00DB5961"/>
    <w:rsid w:val="00DD27BE"/>
    <w:rsid w:val="00DD2812"/>
    <w:rsid w:val="00DD4464"/>
    <w:rsid w:val="00DE6BBA"/>
    <w:rsid w:val="00DF617A"/>
    <w:rsid w:val="00E03F78"/>
    <w:rsid w:val="00E13A04"/>
    <w:rsid w:val="00E15F6E"/>
    <w:rsid w:val="00E21617"/>
    <w:rsid w:val="00E21E6F"/>
    <w:rsid w:val="00E322F0"/>
    <w:rsid w:val="00E43144"/>
    <w:rsid w:val="00E45264"/>
    <w:rsid w:val="00E4588C"/>
    <w:rsid w:val="00E510E7"/>
    <w:rsid w:val="00E622C0"/>
    <w:rsid w:val="00E62C3A"/>
    <w:rsid w:val="00E6416D"/>
    <w:rsid w:val="00E64BAF"/>
    <w:rsid w:val="00E77924"/>
    <w:rsid w:val="00E81F59"/>
    <w:rsid w:val="00E839CE"/>
    <w:rsid w:val="00E91DDC"/>
    <w:rsid w:val="00E92294"/>
    <w:rsid w:val="00E928EA"/>
    <w:rsid w:val="00E97B21"/>
    <w:rsid w:val="00EA2A20"/>
    <w:rsid w:val="00EA2B80"/>
    <w:rsid w:val="00EA4627"/>
    <w:rsid w:val="00EA6654"/>
    <w:rsid w:val="00EB54D2"/>
    <w:rsid w:val="00EC6333"/>
    <w:rsid w:val="00ED3E28"/>
    <w:rsid w:val="00ED4CCD"/>
    <w:rsid w:val="00ED6D99"/>
    <w:rsid w:val="00ED727B"/>
    <w:rsid w:val="00EE390B"/>
    <w:rsid w:val="00EE74F6"/>
    <w:rsid w:val="00EF0F3F"/>
    <w:rsid w:val="00EF2086"/>
    <w:rsid w:val="00EF4261"/>
    <w:rsid w:val="00F048EC"/>
    <w:rsid w:val="00F05A09"/>
    <w:rsid w:val="00F14A7C"/>
    <w:rsid w:val="00F21697"/>
    <w:rsid w:val="00F34819"/>
    <w:rsid w:val="00F4173F"/>
    <w:rsid w:val="00F4551C"/>
    <w:rsid w:val="00F518AF"/>
    <w:rsid w:val="00F70F35"/>
    <w:rsid w:val="00F75523"/>
    <w:rsid w:val="00F805E1"/>
    <w:rsid w:val="00F8116C"/>
    <w:rsid w:val="00F818D6"/>
    <w:rsid w:val="00F826D2"/>
    <w:rsid w:val="00F860E2"/>
    <w:rsid w:val="00F91A78"/>
    <w:rsid w:val="00F92DD8"/>
    <w:rsid w:val="00F95ACB"/>
    <w:rsid w:val="00FA52B9"/>
    <w:rsid w:val="00FB1547"/>
    <w:rsid w:val="00FB5186"/>
    <w:rsid w:val="00FC066D"/>
    <w:rsid w:val="00FC1E4A"/>
    <w:rsid w:val="00FC64FF"/>
    <w:rsid w:val="00FC6D9B"/>
    <w:rsid w:val="00FD1DE8"/>
    <w:rsid w:val="00FE77A9"/>
    <w:rsid w:val="00FF3DF4"/>
    <w:rsid w:val="00FF3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9217"/>
    <o:shapelayout v:ext="edit">
      <o:idmap v:ext="edit" data="1"/>
    </o:shapelayout>
  </w:shapeDefaults>
  <w:decimalSymbol w:val="."/>
  <w:listSeparator w:val=","/>
  <w14:docId w14:val="5574E0DF"/>
  <w15:chartTrackingRefBased/>
  <w15:docId w15:val="{BB3AA266-37BC-4844-AE2A-423D3743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CCB"/>
    <w:pPr>
      <w:spacing w:before="110" w:line="280" w:lineRule="atLeast"/>
      <w:ind w:left="709"/>
    </w:pPr>
    <w:rPr>
      <w:rFonts w:ascii="Arial" w:hAnsi="Arial"/>
      <w:sz w:val="22"/>
      <w:lang w:eastAsia="en-US"/>
    </w:rPr>
  </w:style>
  <w:style w:type="paragraph" w:styleId="Heading1">
    <w:name w:val="heading 1"/>
    <w:next w:val="BodyText"/>
    <w:link w:val="Heading1Char"/>
    <w:autoRedefine/>
    <w:qFormat/>
    <w:rsid w:val="00831408"/>
    <w:pPr>
      <w:keepNext/>
      <w:numPr>
        <w:numId w:val="19"/>
      </w:numPr>
      <w:shd w:val="clear" w:color="auto" w:fill="FFFFFF"/>
      <w:spacing w:before="400" w:after="140"/>
      <w:outlineLvl w:val="0"/>
    </w:pPr>
    <w:rPr>
      <w:rFonts w:ascii="Arial Bold" w:hAnsi="Arial Bold"/>
      <w:b/>
      <w:snapToGrid w:val="0"/>
      <w:color w:val="004068"/>
      <w:kern w:val="28"/>
      <w:sz w:val="36"/>
      <w:szCs w:val="32"/>
      <w:lang w:eastAsia="en-US"/>
    </w:rPr>
  </w:style>
  <w:style w:type="paragraph" w:styleId="Heading2">
    <w:name w:val="heading 2"/>
    <w:basedOn w:val="Heading1"/>
    <w:next w:val="BodyText"/>
    <w:link w:val="Heading2Char"/>
    <w:autoRedefine/>
    <w:qFormat/>
    <w:rsid w:val="00831408"/>
    <w:pPr>
      <w:numPr>
        <w:ilvl w:val="1"/>
      </w:numPr>
      <w:shd w:val="clear" w:color="auto" w:fill="auto"/>
      <w:spacing w:before="320" w:after="100"/>
      <w:outlineLvl w:val="1"/>
    </w:pPr>
    <w:rPr>
      <w:color w:val="336699"/>
      <w:sz w:val="28"/>
    </w:rPr>
  </w:style>
  <w:style w:type="paragraph" w:styleId="Heading3">
    <w:name w:val="heading 3"/>
    <w:basedOn w:val="Heading2"/>
    <w:next w:val="BodyText"/>
    <w:link w:val="Heading3Char"/>
    <w:autoRedefine/>
    <w:qFormat/>
    <w:rsid w:val="00CA23BE"/>
    <w:pPr>
      <w:numPr>
        <w:ilvl w:val="2"/>
      </w:numPr>
      <w:spacing w:before="280" w:after="80"/>
      <w:outlineLvl w:val="2"/>
    </w:pPr>
    <w:rPr>
      <w:color w:val="auto"/>
      <w:kern w:val="24"/>
      <w:sz w:val="22"/>
      <w:szCs w:val="24"/>
    </w:rPr>
  </w:style>
  <w:style w:type="paragraph" w:styleId="Heading4">
    <w:name w:val="heading 4"/>
    <w:basedOn w:val="Heading3"/>
    <w:next w:val="BodyText"/>
    <w:autoRedefine/>
    <w:qFormat/>
    <w:rsid w:val="006517B2"/>
    <w:pPr>
      <w:keepLines/>
      <w:numPr>
        <w:ilvl w:val="0"/>
        <w:numId w:val="0"/>
      </w:numPr>
      <w:spacing w:before="260" w:after="70"/>
      <w:ind w:left="709"/>
      <w:outlineLvl w:val="3"/>
    </w:pPr>
    <w:rPr>
      <w:i/>
      <w:szCs w:val="22"/>
      <w:lang w:val="en-US" w:eastAsia="en-AU"/>
    </w:rPr>
  </w:style>
  <w:style w:type="paragraph" w:styleId="Heading5">
    <w:name w:val="heading 5"/>
    <w:basedOn w:val="Heading4"/>
    <w:next w:val="BodyText"/>
    <w:autoRedefine/>
    <w:qFormat/>
    <w:rsid w:val="007D23D6"/>
    <w:pPr>
      <w:numPr>
        <w:ilvl w:val="4"/>
      </w:numPr>
      <w:spacing w:before="220" w:after="40"/>
      <w:ind w:left="709"/>
      <w:outlineLvl w:val="4"/>
    </w:pPr>
    <w:rPr>
      <w:rFonts w:ascii="Arial" w:hAnsi="Arial"/>
      <w:b w:val="0"/>
    </w:rPr>
  </w:style>
  <w:style w:type="paragraph" w:styleId="Heading6">
    <w:name w:val="heading 6"/>
    <w:basedOn w:val="BodyText"/>
    <w:next w:val="BodyText"/>
    <w:qFormat/>
    <w:rsid w:val="0003232D"/>
    <w:pPr>
      <w:keepNext/>
      <w:keepLines/>
      <w:numPr>
        <w:ilvl w:val="5"/>
        <w:numId w:val="19"/>
      </w:numPr>
      <w:outlineLvl w:val="5"/>
    </w:pPr>
    <w:rPr>
      <w:lang w:val="en-US"/>
    </w:rPr>
  </w:style>
  <w:style w:type="paragraph" w:styleId="Heading7">
    <w:name w:val="heading 7"/>
    <w:basedOn w:val="BodyText"/>
    <w:next w:val="BodyText"/>
    <w:qFormat/>
    <w:rsid w:val="0003232D"/>
    <w:pPr>
      <w:numPr>
        <w:ilvl w:val="6"/>
        <w:numId w:val="19"/>
      </w:numPr>
      <w:jc w:val="both"/>
      <w:outlineLvl w:val="6"/>
    </w:pPr>
    <w:rPr>
      <w:snapToGrid w:val="0"/>
      <w:kern w:val="28"/>
      <w:szCs w:val="22"/>
      <w:lang w:val="en-GB" w:eastAsia="en-US"/>
    </w:rPr>
  </w:style>
  <w:style w:type="paragraph" w:styleId="Heading8">
    <w:name w:val="heading 8"/>
    <w:basedOn w:val="BodyText"/>
    <w:next w:val="BodyText"/>
    <w:qFormat/>
    <w:rsid w:val="0003232D"/>
    <w:pPr>
      <w:numPr>
        <w:ilvl w:val="7"/>
        <w:numId w:val="19"/>
      </w:numPr>
      <w:jc w:val="both"/>
      <w:outlineLvl w:val="7"/>
    </w:pPr>
    <w:rPr>
      <w:snapToGrid w:val="0"/>
      <w:kern w:val="28"/>
      <w:szCs w:val="22"/>
      <w:lang w:val="en-GB" w:eastAsia="en-US"/>
    </w:rPr>
  </w:style>
  <w:style w:type="paragraph" w:styleId="Heading9">
    <w:name w:val="heading 9"/>
    <w:basedOn w:val="BodyText"/>
    <w:next w:val="BodyText"/>
    <w:qFormat/>
    <w:rsid w:val="0003232D"/>
    <w:pPr>
      <w:numPr>
        <w:ilvl w:val="8"/>
        <w:numId w:val="19"/>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rsid w:val="001C3407"/>
    <w:pPr>
      <w:numPr>
        <w:numId w:val="15"/>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6517B2"/>
    <w:pPr>
      <w:spacing w:before="110" w:line="280" w:lineRule="atLeast"/>
      <w:ind w:left="709"/>
    </w:pPr>
    <w:rPr>
      <w:rFonts w:ascii="Arial" w:hAnsi="Arial"/>
      <w:sz w:val="22"/>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4"/>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numPr>
        <w:numId w:val="14"/>
      </w:numPr>
    </w:pPr>
  </w:style>
  <w:style w:type="paragraph" w:customStyle="1" w:styleId="Appendix3">
    <w:name w:val="Appendix 3"/>
    <w:basedOn w:val="Heading3"/>
    <w:next w:val="BodyText"/>
    <w:link w:val="Appendix3Char"/>
    <w:rsid w:val="00D35B3E"/>
    <w:pPr>
      <w:numPr>
        <w:numId w:val="14"/>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7"/>
      </w:numPr>
      <w:spacing w:before="40" w:after="40"/>
    </w:pPr>
    <w:rPr>
      <w:szCs w:val="22"/>
    </w:rPr>
  </w:style>
  <w:style w:type="paragraph" w:customStyle="1" w:styleId="Bulletdash">
    <w:name w:val="Bullet dash"/>
    <w:basedOn w:val="BodyText"/>
    <w:link w:val="BulletdashChar"/>
    <w:rsid w:val="00045ECF"/>
    <w:pPr>
      <w:numPr>
        <w:ilvl w:val="1"/>
        <w:numId w:val="17"/>
      </w:numPr>
      <w:spacing w:before="40" w:after="40"/>
    </w:pPr>
    <w:rPr>
      <w:szCs w:val="22"/>
    </w:rPr>
  </w:style>
  <w:style w:type="paragraph" w:customStyle="1" w:styleId="Bulletopencircle">
    <w:name w:val="Bullet open circle"/>
    <w:basedOn w:val="BodyText"/>
    <w:link w:val="BulletopencircleChar"/>
    <w:rsid w:val="00045ECF"/>
    <w:pPr>
      <w:numPr>
        <w:ilvl w:val="2"/>
        <w:numId w:val="17"/>
      </w:numPr>
      <w:spacing w:before="40" w:after="40"/>
    </w:pPr>
    <w:rPr>
      <w:szCs w:val="22"/>
    </w:r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semiHidden/>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rsid w:val="00045ECF"/>
    <w:pPr>
      <w:numPr>
        <w:numId w:val="20"/>
      </w:numPr>
      <w:spacing w:before="40" w:after="40"/>
    </w:pPr>
    <w:rPr>
      <w:szCs w:val="22"/>
      <w:lang w:eastAsia="en-AU"/>
    </w:rPr>
  </w:style>
  <w:style w:type="paragraph" w:customStyle="1" w:styleId="Tablebulletdash">
    <w:name w:val="Table bullet dash"/>
    <w:basedOn w:val="TableText"/>
    <w:rsid w:val="00045ECF"/>
    <w:pPr>
      <w:numPr>
        <w:ilvl w:val="1"/>
        <w:numId w:val="20"/>
      </w:numPr>
      <w:spacing w:before="40" w:after="40"/>
    </w:pPr>
    <w:rPr>
      <w:szCs w:val="22"/>
    </w:rPr>
  </w:style>
  <w:style w:type="paragraph" w:styleId="Title">
    <w:name w:val="Title"/>
    <w:basedOn w:val="Normal"/>
    <w:qFormat/>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1"/>
      </w:numPr>
    </w:pPr>
  </w:style>
  <w:style w:type="numbering" w:styleId="1ai">
    <w:name w:val="Outline List 1"/>
    <w:basedOn w:val="NoList"/>
    <w:semiHidden/>
    <w:rsid w:val="007E6A6E"/>
    <w:pPr>
      <w:numPr>
        <w:numId w:val="12"/>
      </w:numPr>
    </w:pPr>
  </w:style>
  <w:style w:type="numbering" w:styleId="ArticleSection">
    <w:name w:val="Outline List 3"/>
    <w:basedOn w:val="NoList"/>
    <w:semiHidden/>
    <w:rsid w:val="007E6A6E"/>
    <w:pPr>
      <w:numPr>
        <w:numId w:val="13"/>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qFormat/>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31"/>
      </w:numPr>
      <w:ind w:left="1134" w:hanging="425"/>
    </w:pPr>
  </w:style>
  <w:style w:type="paragraph" w:styleId="ListBullet2">
    <w:name w:val="List Bullet 2"/>
    <w:basedOn w:val="Normal"/>
    <w:autoRedefine/>
    <w:rsid w:val="007E6A6E"/>
    <w:pPr>
      <w:numPr>
        <w:numId w:val="2"/>
      </w:numPr>
    </w:pPr>
  </w:style>
  <w:style w:type="paragraph" w:styleId="ListBullet3">
    <w:name w:val="List Bullet 3"/>
    <w:basedOn w:val="Normal"/>
    <w:autoRedefine/>
    <w:rsid w:val="007E6A6E"/>
    <w:pPr>
      <w:numPr>
        <w:numId w:val="3"/>
      </w:numPr>
    </w:pPr>
  </w:style>
  <w:style w:type="paragraph" w:styleId="ListBullet4">
    <w:name w:val="List Bullet 4"/>
    <w:basedOn w:val="Normal"/>
    <w:autoRedefine/>
    <w:rsid w:val="007E6A6E"/>
    <w:pPr>
      <w:numPr>
        <w:numId w:val="4"/>
      </w:numPr>
    </w:pPr>
  </w:style>
  <w:style w:type="paragraph" w:styleId="ListBullet5">
    <w:name w:val="List Bullet 5"/>
    <w:basedOn w:val="Normal"/>
    <w:autoRedefine/>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6"/>
      </w:numPr>
    </w:pPr>
  </w:style>
  <w:style w:type="paragraph" w:styleId="ListNumber2">
    <w:name w:val="List Number 2"/>
    <w:basedOn w:val="Normal"/>
    <w:rsid w:val="007E6A6E"/>
    <w:pPr>
      <w:numPr>
        <w:numId w:val="7"/>
      </w:numPr>
    </w:pPr>
  </w:style>
  <w:style w:type="paragraph" w:styleId="ListNumber3">
    <w:name w:val="List Number 3"/>
    <w:basedOn w:val="Normal"/>
    <w:rsid w:val="007E6A6E"/>
    <w:pPr>
      <w:numPr>
        <w:numId w:val="8"/>
      </w:numPr>
    </w:pPr>
  </w:style>
  <w:style w:type="paragraph" w:styleId="ListNumber4">
    <w:name w:val="List Number 4"/>
    <w:basedOn w:val="Normal"/>
    <w:rsid w:val="007E6A6E"/>
    <w:pPr>
      <w:numPr>
        <w:numId w:val="9"/>
      </w:numPr>
    </w:pPr>
  </w:style>
  <w:style w:type="paragraph" w:styleId="ListNumber5">
    <w:name w:val="List Number 5"/>
    <w:basedOn w:val="Normal"/>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qFormat/>
    <w:rsid w:val="007E6A6E"/>
    <w:rPr>
      <w:b/>
      <w:bCs/>
    </w:rPr>
  </w:style>
  <w:style w:type="paragraph" w:styleId="Subtitle">
    <w:name w:val="Subtitle"/>
    <w:basedOn w:val="Normal"/>
    <w:qFormat/>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numPr>
        <w:ilvl w:val="0"/>
        <w:numId w:val="0"/>
      </w:numPr>
      <w:outlineLvl w:val="9"/>
    </w:pPr>
  </w:style>
  <w:style w:type="paragraph" w:customStyle="1" w:styleId="Bulletforexecsummary">
    <w:name w:val="Bullet for exec summary"/>
    <w:basedOn w:val="Bulletcircle"/>
    <w:rsid w:val="00045ECF"/>
    <w:pPr>
      <w:numPr>
        <w:numId w:val="16"/>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uiPriority w:val="99"/>
    <w:rsid w:val="001C3407"/>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831408"/>
    <w:rPr>
      <w:rFonts w:ascii="Arial Bold" w:hAnsi="Arial Bold"/>
      <w:b/>
      <w:snapToGrid w:val="0"/>
      <w:color w:val="336699"/>
      <w:kern w:val="28"/>
      <w:sz w:val="28"/>
      <w:szCs w:val="32"/>
      <w:lang w:eastAsia="en-US"/>
    </w:rPr>
  </w:style>
  <w:style w:type="character" w:customStyle="1" w:styleId="BodyTextChar">
    <w:name w:val="Body Text Char"/>
    <w:link w:val="BodyText"/>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28"/>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lang w:val="en-AU" w:eastAsia="en-AU" w:bidi="ar-SA"/>
    </w:rPr>
  </w:style>
  <w:style w:type="character" w:customStyle="1" w:styleId="Bullet3Char">
    <w:name w:val="Bullet3 Char"/>
    <w:link w:val="Bullet3"/>
    <w:rsid w:val="00702C47"/>
    <w:rPr>
      <w:rFonts w:ascii="Arial" w:hAnsi="Arial"/>
      <w:sz w:val="22"/>
      <w:szCs w:val="22"/>
      <w:lang w:val="en-AU" w:eastAsia="en-AU" w:bidi="ar-SA"/>
    </w:rPr>
  </w:style>
  <w:style w:type="character" w:customStyle="1" w:styleId="BulletdashChar">
    <w:name w:val="Bullet dash Char"/>
    <w:link w:val="Bulletdash"/>
    <w:rsid w:val="00702C47"/>
    <w:rPr>
      <w:rFonts w:ascii="Arial" w:hAnsi="Arial"/>
      <w:sz w:val="22"/>
      <w:szCs w:val="22"/>
      <w:lang w:val="en-AU" w:eastAsia="en-AU" w:bidi="ar-SA"/>
    </w:rPr>
  </w:style>
  <w:style w:type="character" w:customStyle="1" w:styleId="Bullet2Char">
    <w:name w:val="Bullet2 Char"/>
    <w:link w:val="Bullet2"/>
    <w:rsid w:val="00702C47"/>
    <w:rPr>
      <w:rFonts w:ascii="Arial" w:hAnsi="Arial"/>
      <w:sz w:val="22"/>
      <w:szCs w:val="22"/>
      <w:lang w:val="en-AU" w:eastAsia="en-AU" w:bidi="ar-SA"/>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30"/>
      </w:numPr>
    </w:pPr>
  </w:style>
  <w:style w:type="paragraph" w:customStyle="1" w:styleId="Appendix">
    <w:name w:val="Appendix"/>
    <w:basedOn w:val="Appendix1"/>
    <w:link w:val="AppendixChar"/>
    <w:autoRedefine/>
    <w:qFormat/>
    <w:rsid w:val="00766CCB"/>
  </w:style>
  <w:style w:type="paragraph" w:customStyle="1" w:styleId="BodyText1">
    <w:name w:val="Body Text1"/>
    <w:basedOn w:val="BodyText"/>
    <w:link w:val="BodytextChar0"/>
    <w:autoRedefine/>
    <w:qFormat/>
    <w:rsid w:val="00766CCB"/>
  </w:style>
  <w:style w:type="character" w:customStyle="1" w:styleId="Heading1Char">
    <w:name w:val="Heading 1 Char"/>
    <w:link w:val="Heading1"/>
    <w:rsid w:val="00766CCB"/>
    <w:rPr>
      <w:rFonts w:ascii="Arial Bold" w:hAnsi="Arial Bold"/>
      <w:b/>
      <w:snapToGrid w:val="0"/>
      <w:color w:val="004068"/>
      <w:kern w:val="28"/>
      <w:sz w:val="36"/>
      <w:szCs w:val="32"/>
      <w:shd w:val="clear" w:color="auto" w:fill="FFFFFF"/>
      <w:lang w:eastAsia="en-US"/>
    </w:rPr>
  </w:style>
  <w:style w:type="character" w:customStyle="1" w:styleId="Heading1nonumberChar">
    <w:name w:val="Heading 1 no number Char"/>
    <w:link w:val="Heading1nonumber"/>
    <w:rsid w:val="00766CCB"/>
    <w:rPr>
      <w:rFonts w:ascii="Arial Bold" w:hAnsi="Arial Bold"/>
      <w:b/>
      <w:snapToGrid w:val="0"/>
      <w:color w:val="004068"/>
      <w:kern w:val="28"/>
      <w:sz w:val="36"/>
      <w:szCs w:val="32"/>
      <w:shd w:val="clear" w:color="auto" w:fill="FFFFFF"/>
      <w:lang w:eastAsia="en-US"/>
    </w:rPr>
  </w:style>
  <w:style w:type="character" w:customStyle="1" w:styleId="Appendix1Char">
    <w:name w:val="Appendix 1 Char"/>
    <w:link w:val="Appendix1"/>
    <w:rsid w:val="00766CCB"/>
    <w:rPr>
      <w:rFonts w:ascii="Arial Bold" w:hAnsi="Arial Bold"/>
      <w:b/>
      <w:snapToGrid w:val="0"/>
      <w:color w:val="004068"/>
      <w:kern w:val="28"/>
      <w:sz w:val="36"/>
      <w:szCs w:val="28"/>
      <w:shd w:val="clear" w:color="auto" w:fill="FFFFFF"/>
      <w:lang w:eastAsia="en-US"/>
    </w:rPr>
  </w:style>
  <w:style w:type="character" w:customStyle="1" w:styleId="AppendixChar">
    <w:name w:val="Appendix Char"/>
    <w:link w:val="Appendix"/>
    <w:rsid w:val="00766CCB"/>
    <w:rPr>
      <w:rFonts w:ascii="Arial Bold" w:hAnsi="Arial Bold"/>
      <w:b/>
      <w:snapToGrid w:val="0"/>
      <w:color w:val="004068"/>
      <w:kern w:val="28"/>
      <w:sz w:val="36"/>
      <w:szCs w:val="28"/>
      <w:shd w:val="clear" w:color="auto" w:fill="FFFFFF"/>
      <w:lang w:eastAsia="en-US"/>
    </w:rPr>
  </w:style>
  <w:style w:type="paragraph" w:customStyle="1" w:styleId="Bullet1">
    <w:name w:val="Bullet 1"/>
    <w:basedOn w:val="Bulletcircle"/>
    <w:link w:val="Bullet1Char"/>
    <w:autoRedefine/>
    <w:qFormat/>
    <w:rsid w:val="00766CCB"/>
    <w:pPr>
      <w:numPr>
        <w:numId w:val="26"/>
      </w:numPr>
    </w:pPr>
  </w:style>
  <w:style w:type="character" w:customStyle="1" w:styleId="BodytextChar0">
    <w:name w:val="Body text Char"/>
    <w:link w:val="BodyText1"/>
    <w:rsid w:val="00766CCB"/>
    <w:rPr>
      <w:rFonts w:ascii="Arial" w:hAnsi="Arial"/>
      <w:sz w:val="22"/>
    </w:rPr>
  </w:style>
  <w:style w:type="paragraph" w:customStyle="1" w:styleId="Numberlist1">
    <w:name w:val="Number list 1"/>
    <w:basedOn w:val="Bullet3"/>
    <w:link w:val="Numberlist1Char"/>
    <w:autoRedefine/>
    <w:qFormat/>
    <w:rsid w:val="00766CCB"/>
    <w:pPr>
      <w:numPr>
        <w:ilvl w:val="0"/>
        <w:numId w:val="32"/>
      </w:numPr>
      <w:ind w:left="1134" w:hanging="425"/>
    </w:pPr>
  </w:style>
  <w:style w:type="character" w:customStyle="1" w:styleId="BulletcircleChar">
    <w:name w:val="Bullet circle Char"/>
    <w:link w:val="Bulletcircle"/>
    <w:rsid w:val="00766CCB"/>
    <w:rPr>
      <w:rFonts w:ascii="Arial" w:hAnsi="Arial"/>
      <w:sz w:val="22"/>
      <w:szCs w:val="22"/>
    </w:rPr>
  </w:style>
  <w:style w:type="character" w:customStyle="1" w:styleId="Bullet1Char">
    <w:name w:val="Bullet 1 Char"/>
    <w:link w:val="Bullet1"/>
    <w:rsid w:val="00766CCB"/>
    <w:rPr>
      <w:rFonts w:ascii="Arial" w:hAnsi="Arial"/>
      <w:sz w:val="22"/>
      <w:szCs w:val="22"/>
    </w:rPr>
  </w:style>
  <w:style w:type="paragraph" w:customStyle="1" w:styleId="Numberlist2">
    <w:name w:val="Number list 2"/>
    <w:basedOn w:val="Bullet3"/>
    <w:link w:val="Numberlist2Char"/>
    <w:autoRedefine/>
    <w:qFormat/>
    <w:rsid w:val="00766CCB"/>
    <w:pPr>
      <w:numPr>
        <w:ilvl w:val="1"/>
        <w:numId w:val="32"/>
      </w:numPr>
      <w:ind w:left="1559" w:hanging="425"/>
    </w:pPr>
  </w:style>
  <w:style w:type="character" w:customStyle="1" w:styleId="Numberlist1Char">
    <w:name w:val="Number list 1 Char"/>
    <w:link w:val="Numberlist1"/>
    <w:rsid w:val="00766CCB"/>
    <w:rPr>
      <w:rFonts w:ascii="Arial" w:hAnsi="Arial"/>
      <w:sz w:val="22"/>
      <w:szCs w:val="22"/>
      <w:lang w:val="en-AU" w:eastAsia="en-AU" w:bidi="ar-SA"/>
    </w:rPr>
  </w:style>
  <w:style w:type="paragraph" w:customStyle="1" w:styleId="Numberlist3">
    <w:name w:val="Number list 3"/>
    <w:basedOn w:val="Bullet3"/>
    <w:link w:val="Numberlist3Char"/>
    <w:qFormat/>
    <w:rsid w:val="00766CCB"/>
    <w:pPr>
      <w:numPr>
        <w:numId w:val="32"/>
      </w:numPr>
      <w:ind w:left="1984" w:hanging="425"/>
    </w:pPr>
  </w:style>
  <w:style w:type="character" w:customStyle="1" w:styleId="Numberlist2Char">
    <w:name w:val="Number list 2 Char"/>
    <w:link w:val="Numberlist2"/>
    <w:rsid w:val="00766CCB"/>
    <w:rPr>
      <w:rFonts w:ascii="Arial" w:hAnsi="Arial"/>
      <w:sz w:val="22"/>
      <w:szCs w:val="22"/>
      <w:lang w:val="en-AU" w:eastAsia="en-AU" w:bidi="ar-SA"/>
    </w:rPr>
  </w:style>
  <w:style w:type="paragraph" w:customStyle="1" w:styleId="Appendixlvl3">
    <w:name w:val="Appendix lvl 3"/>
    <w:basedOn w:val="Appendix3"/>
    <w:link w:val="Appendixlvl3Char"/>
    <w:autoRedefine/>
    <w:qFormat/>
    <w:rsid w:val="00766CCB"/>
  </w:style>
  <w:style w:type="character" w:customStyle="1" w:styleId="Numberlist3Char">
    <w:name w:val="Number list 3 Char"/>
    <w:link w:val="Numberlist3"/>
    <w:rsid w:val="00766CCB"/>
    <w:rPr>
      <w:rFonts w:ascii="Arial" w:hAnsi="Arial"/>
      <w:sz w:val="22"/>
      <w:szCs w:val="22"/>
      <w:lang w:val="en-AU" w:eastAsia="en-AU" w:bidi="ar-SA"/>
    </w:rPr>
  </w:style>
  <w:style w:type="paragraph" w:customStyle="1" w:styleId="Appendixlvl2">
    <w:name w:val="Appendix lvl 2"/>
    <w:basedOn w:val="Appendix2"/>
    <w:link w:val="Appendixlvl2Char"/>
    <w:autoRedefine/>
    <w:qFormat/>
    <w:rsid w:val="00766CCB"/>
  </w:style>
  <w:style w:type="character" w:customStyle="1" w:styleId="Heading3Char">
    <w:name w:val="Heading 3 Char"/>
    <w:link w:val="Heading3"/>
    <w:rsid w:val="00766CCB"/>
    <w:rPr>
      <w:rFonts w:ascii="Arial Bold" w:hAnsi="Arial Bold"/>
      <w:b/>
      <w:snapToGrid w:val="0"/>
      <w:color w:val="336699"/>
      <w:kern w:val="24"/>
      <w:sz w:val="22"/>
      <w:szCs w:val="24"/>
      <w:lang w:eastAsia="en-US"/>
    </w:rPr>
  </w:style>
  <w:style w:type="character" w:customStyle="1" w:styleId="Appendix3Char">
    <w:name w:val="Appendix 3 Char"/>
    <w:link w:val="Appendix3"/>
    <w:rsid w:val="00766CCB"/>
    <w:rPr>
      <w:rFonts w:ascii="Arial Bold" w:hAnsi="Arial Bold"/>
      <w:b/>
      <w:snapToGrid w:val="0"/>
      <w:color w:val="336699"/>
      <w:kern w:val="24"/>
      <w:sz w:val="22"/>
      <w:szCs w:val="24"/>
      <w:lang w:eastAsia="en-US"/>
    </w:rPr>
  </w:style>
  <w:style w:type="character" w:customStyle="1" w:styleId="Appendixlvl3Char">
    <w:name w:val="Appendix lvl 3 Char"/>
    <w:link w:val="Appendixlvl3"/>
    <w:rsid w:val="00766CCB"/>
    <w:rPr>
      <w:rFonts w:ascii="Arial Bold" w:hAnsi="Arial Bold"/>
      <w:b/>
      <w:snapToGrid w:val="0"/>
      <w:color w:val="336699"/>
      <w:kern w:val="24"/>
      <w:sz w:val="22"/>
      <w:szCs w:val="24"/>
      <w:lang w:eastAsia="en-US"/>
    </w:rPr>
  </w:style>
  <w:style w:type="paragraph" w:customStyle="1" w:styleId="Appendixlvl4">
    <w:name w:val="Appendix lvl 4"/>
    <w:basedOn w:val="Appendix4"/>
    <w:link w:val="Appendixlvl4Char"/>
    <w:autoRedefine/>
    <w:qFormat/>
    <w:rsid w:val="00766CCB"/>
  </w:style>
  <w:style w:type="character" w:customStyle="1" w:styleId="Appendix2Char">
    <w:name w:val="Appendix 2 Char"/>
    <w:link w:val="Appendix2"/>
    <w:rsid w:val="00766CCB"/>
    <w:rPr>
      <w:rFonts w:ascii="Arial Bold" w:hAnsi="Arial Bold"/>
      <w:b/>
      <w:snapToGrid w:val="0"/>
      <w:color w:val="336699"/>
      <w:kern w:val="28"/>
      <w:sz w:val="28"/>
      <w:szCs w:val="32"/>
      <w:lang w:eastAsia="en-US"/>
    </w:rPr>
  </w:style>
  <w:style w:type="character" w:customStyle="1" w:styleId="Appendixlvl2Char">
    <w:name w:val="Appendix lvl 2 Char"/>
    <w:link w:val="Appendixlvl2"/>
    <w:rsid w:val="00766CCB"/>
    <w:rPr>
      <w:rFonts w:ascii="Arial Bold" w:hAnsi="Arial Bold"/>
      <w:b/>
      <w:snapToGrid w:val="0"/>
      <w:color w:val="336699"/>
      <w:kern w:val="28"/>
      <w:sz w:val="28"/>
      <w:szCs w:val="32"/>
      <w:lang w:eastAsia="en-US"/>
    </w:rPr>
  </w:style>
  <w:style w:type="character" w:customStyle="1" w:styleId="Appendix4Char">
    <w:name w:val="Appendix 4 Char"/>
    <w:link w:val="Appendix4"/>
    <w:semiHidden/>
    <w:rsid w:val="00766CCB"/>
    <w:rPr>
      <w:rFonts w:ascii="Arial Bold" w:hAnsi="Arial Bold"/>
      <w:b w:val="0"/>
      <w:i/>
      <w:snapToGrid w:val="0"/>
      <w:color w:val="336699"/>
      <w:kern w:val="24"/>
      <w:sz w:val="22"/>
      <w:szCs w:val="24"/>
      <w:lang w:val="en-US" w:eastAsia="en-US"/>
    </w:rPr>
  </w:style>
  <w:style w:type="character" w:customStyle="1" w:styleId="Appendixlvl4Char">
    <w:name w:val="Appendix lvl 4 Char"/>
    <w:link w:val="Appendixlvl4"/>
    <w:rsid w:val="00766CCB"/>
    <w:rPr>
      <w:rFonts w:ascii="Arial Bold" w:hAnsi="Arial Bold"/>
      <w:b w:val="0"/>
      <w:i/>
      <w:snapToGrid w:val="0"/>
      <w:color w:val="336699"/>
      <w:kern w:val="24"/>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hyperlink" Target="https://www.qgcio.qld.gov.au/publications/knowledge-ba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qgcio.qld.gov.au/publications/knowledge-base" TargetMode="External"/><Relationship Id="rId7" Type="http://schemas.openxmlformats.org/officeDocument/2006/relationships/hyperlink" Target="mailto:qgcio@qld.gov.au" TargetMode="External"/><Relationship Id="rId12" Type="http://schemas.openxmlformats.org/officeDocument/2006/relationships/header" Target="header1.xml"/><Relationship Id="rId17" Type="http://schemas.openxmlformats.org/officeDocument/2006/relationships/hyperlink" Target="https://www.qgcio.qld.gov.au/information-on/qgea/qgea-classification-framework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gcio.qld.gov.au/documents/qgea-implementation-prioritisation-technique-too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gcio@qgcio.qld.gov.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qgcio.qld.gov.au/information-on/qgea/qgea-alignment-exception" TargetMode="External"/><Relationship Id="rId10" Type="http://schemas.openxmlformats.org/officeDocument/2006/relationships/hyperlink" Target="http://creativecommons.org/licenses/by/4.0/"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qgcio.qld.gov.au/publications/knowledge-ba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1689</Words>
  <Characters>12175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Implementation prioritisation technique guideline</vt:lpstr>
    </vt:vector>
  </TitlesOfParts>
  <Company>QGCIO</Company>
  <LinksUpToDate>false</LinksUpToDate>
  <CharactersWithSpaces>13837</CharactersWithSpaces>
  <SharedDoc>false</SharedDoc>
  <HLinks>
    <vt:vector size="132" baseType="variant">
      <vt:variant>
        <vt:i4>1048650</vt:i4>
      </vt:variant>
      <vt:variant>
        <vt:i4>156</vt:i4>
      </vt:variant>
      <vt:variant>
        <vt:i4>0</vt:i4>
      </vt:variant>
      <vt:variant>
        <vt:i4>5</vt:i4>
      </vt:variant>
      <vt:variant>
        <vt:lpwstr>https://portal.qgcio.qld.gov.au/portal-processes/qgea-exceptions</vt:lpwstr>
      </vt:variant>
      <vt:variant>
        <vt:lpwstr/>
      </vt:variant>
      <vt:variant>
        <vt:i4>6684714</vt:i4>
      </vt:variant>
      <vt:variant>
        <vt:i4>153</vt:i4>
      </vt:variant>
      <vt:variant>
        <vt:i4>0</vt:i4>
      </vt:variant>
      <vt:variant>
        <vt:i4>5</vt:i4>
      </vt:variant>
      <vt:variant>
        <vt:lpwstr>https://portal.qgcio.qld.gov.au/products/qgea-documents/547-business/2516-ict-resources-strategic-planning-is2-business</vt:lpwstr>
      </vt:variant>
      <vt:variant>
        <vt:lpwstr/>
      </vt:variant>
      <vt:variant>
        <vt:i4>3080253</vt:i4>
      </vt:variant>
      <vt:variant>
        <vt:i4>150</vt:i4>
      </vt:variant>
      <vt:variant>
        <vt:i4>0</vt:i4>
      </vt:variant>
      <vt:variant>
        <vt:i4>5</vt:i4>
      </vt:variant>
      <vt:variant>
        <vt:lpwstr>https://portal.qgcio.qld.gov.au/products/knowledge-base</vt:lpwstr>
      </vt:variant>
      <vt:variant>
        <vt:lpwstr/>
      </vt:variant>
      <vt:variant>
        <vt:i4>3080253</vt:i4>
      </vt:variant>
      <vt:variant>
        <vt:i4>108</vt:i4>
      </vt:variant>
      <vt:variant>
        <vt:i4>0</vt:i4>
      </vt:variant>
      <vt:variant>
        <vt:i4>5</vt:i4>
      </vt:variant>
      <vt:variant>
        <vt:lpwstr>https://portal.qgcio.qld.gov.au/products/knowledge-base</vt:lpwstr>
      </vt:variant>
      <vt:variant>
        <vt:lpwstr/>
      </vt:variant>
      <vt:variant>
        <vt:i4>7471226</vt:i4>
      </vt:variant>
      <vt:variant>
        <vt:i4>105</vt:i4>
      </vt:variant>
      <vt:variant>
        <vt:i4>0</vt:i4>
      </vt:variant>
      <vt:variant>
        <vt:i4>5</vt:i4>
      </vt:variant>
      <vt:variant>
        <vt:lpwstr>http://www.qgcio.qld.gov.au/products/qgea-documents/570-workflow/2444-business-process-classification-framework</vt:lpwstr>
      </vt:variant>
      <vt:variant>
        <vt:lpwstr/>
      </vt:variant>
      <vt:variant>
        <vt:i4>5111880</vt:i4>
      </vt:variant>
      <vt:variant>
        <vt:i4>102</vt:i4>
      </vt:variant>
      <vt:variant>
        <vt:i4>0</vt:i4>
      </vt:variant>
      <vt:variant>
        <vt:i4>5</vt:i4>
      </vt:variant>
      <vt:variant>
        <vt:lpwstr>https://portal.qgcio.qld.gov.au/products/qgea-documents/570-workflow/2791-qgea-implementation-prioritisation-template</vt:lpwstr>
      </vt:variant>
      <vt:variant>
        <vt:lpwstr/>
      </vt:variant>
      <vt:variant>
        <vt:i4>1507377</vt:i4>
      </vt:variant>
      <vt:variant>
        <vt:i4>95</vt:i4>
      </vt:variant>
      <vt:variant>
        <vt:i4>0</vt:i4>
      </vt:variant>
      <vt:variant>
        <vt:i4>5</vt:i4>
      </vt:variant>
      <vt:variant>
        <vt:lpwstr/>
      </vt:variant>
      <vt:variant>
        <vt:lpwstr>_Toc354571111</vt:lpwstr>
      </vt:variant>
      <vt:variant>
        <vt:i4>1507377</vt:i4>
      </vt:variant>
      <vt:variant>
        <vt:i4>86</vt:i4>
      </vt:variant>
      <vt:variant>
        <vt:i4>0</vt:i4>
      </vt:variant>
      <vt:variant>
        <vt:i4>5</vt:i4>
      </vt:variant>
      <vt:variant>
        <vt:lpwstr/>
      </vt:variant>
      <vt:variant>
        <vt:lpwstr>_Toc354571110</vt:lpwstr>
      </vt:variant>
      <vt:variant>
        <vt:i4>1441841</vt:i4>
      </vt:variant>
      <vt:variant>
        <vt:i4>80</vt:i4>
      </vt:variant>
      <vt:variant>
        <vt:i4>0</vt:i4>
      </vt:variant>
      <vt:variant>
        <vt:i4>5</vt:i4>
      </vt:variant>
      <vt:variant>
        <vt:lpwstr/>
      </vt:variant>
      <vt:variant>
        <vt:lpwstr>_Toc354571109</vt:lpwstr>
      </vt:variant>
      <vt:variant>
        <vt:i4>1441841</vt:i4>
      </vt:variant>
      <vt:variant>
        <vt:i4>74</vt:i4>
      </vt:variant>
      <vt:variant>
        <vt:i4>0</vt:i4>
      </vt:variant>
      <vt:variant>
        <vt:i4>5</vt:i4>
      </vt:variant>
      <vt:variant>
        <vt:lpwstr/>
      </vt:variant>
      <vt:variant>
        <vt:lpwstr>_Toc354571108</vt:lpwstr>
      </vt:variant>
      <vt:variant>
        <vt:i4>1441841</vt:i4>
      </vt:variant>
      <vt:variant>
        <vt:i4>65</vt:i4>
      </vt:variant>
      <vt:variant>
        <vt:i4>0</vt:i4>
      </vt:variant>
      <vt:variant>
        <vt:i4>5</vt:i4>
      </vt:variant>
      <vt:variant>
        <vt:lpwstr/>
      </vt:variant>
      <vt:variant>
        <vt:lpwstr>_Toc354571107</vt:lpwstr>
      </vt:variant>
      <vt:variant>
        <vt:i4>1441841</vt:i4>
      </vt:variant>
      <vt:variant>
        <vt:i4>59</vt:i4>
      </vt:variant>
      <vt:variant>
        <vt:i4>0</vt:i4>
      </vt:variant>
      <vt:variant>
        <vt:i4>5</vt:i4>
      </vt:variant>
      <vt:variant>
        <vt:lpwstr/>
      </vt:variant>
      <vt:variant>
        <vt:lpwstr>_Toc354571106</vt:lpwstr>
      </vt:variant>
      <vt:variant>
        <vt:i4>1441841</vt:i4>
      </vt:variant>
      <vt:variant>
        <vt:i4>53</vt:i4>
      </vt:variant>
      <vt:variant>
        <vt:i4>0</vt:i4>
      </vt:variant>
      <vt:variant>
        <vt:i4>5</vt:i4>
      </vt:variant>
      <vt:variant>
        <vt:lpwstr/>
      </vt:variant>
      <vt:variant>
        <vt:lpwstr>_Toc354571105</vt:lpwstr>
      </vt:variant>
      <vt:variant>
        <vt:i4>1441841</vt:i4>
      </vt:variant>
      <vt:variant>
        <vt:i4>47</vt:i4>
      </vt:variant>
      <vt:variant>
        <vt:i4>0</vt:i4>
      </vt:variant>
      <vt:variant>
        <vt:i4>5</vt:i4>
      </vt:variant>
      <vt:variant>
        <vt:lpwstr/>
      </vt:variant>
      <vt:variant>
        <vt:lpwstr>_Toc354571104</vt:lpwstr>
      </vt:variant>
      <vt:variant>
        <vt:i4>1441841</vt:i4>
      </vt:variant>
      <vt:variant>
        <vt:i4>41</vt:i4>
      </vt:variant>
      <vt:variant>
        <vt:i4>0</vt:i4>
      </vt:variant>
      <vt:variant>
        <vt:i4>5</vt:i4>
      </vt:variant>
      <vt:variant>
        <vt:lpwstr/>
      </vt:variant>
      <vt:variant>
        <vt:lpwstr>_Toc354571103</vt:lpwstr>
      </vt:variant>
      <vt:variant>
        <vt:i4>1441841</vt:i4>
      </vt:variant>
      <vt:variant>
        <vt:i4>35</vt:i4>
      </vt:variant>
      <vt:variant>
        <vt:i4>0</vt:i4>
      </vt:variant>
      <vt:variant>
        <vt:i4>5</vt:i4>
      </vt:variant>
      <vt:variant>
        <vt:lpwstr/>
      </vt:variant>
      <vt:variant>
        <vt:lpwstr>_Toc354571102</vt:lpwstr>
      </vt:variant>
      <vt:variant>
        <vt:i4>1441841</vt:i4>
      </vt:variant>
      <vt:variant>
        <vt:i4>29</vt:i4>
      </vt:variant>
      <vt:variant>
        <vt:i4>0</vt:i4>
      </vt:variant>
      <vt:variant>
        <vt:i4>5</vt:i4>
      </vt:variant>
      <vt:variant>
        <vt:lpwstr/>
      </vt:variant>
      <vt:variant>
        <vt:lpwstr>_Toc354571101</vt:lpwstr>
      </vt:variant>
      <vt:variant>
        <vt:i4>1441841</vt:i4>
      </vt:variant>
      <vt:variant>
        <vt:i4>23</vt:i4>
      </vt:variant>
      <vt:variant>
        <vt:i4>0</vt:i4>
      </vt:variant>
      <vt:variant>
        <vt:i4>5</vt:i4>
      </vt:variant>
      <vt:variant>
        <vt:lpwstr/>
      </vt:variant>
      <vt:variant>
        <vt:lpwstr>_Toc354571100</vt:lpwstr>
      </vt:variant>
      <vt:variant>
        <vt:i4>2031664</vt:i4>
      </vt:variant>
      <vt:variant>
        <vt:i4>17</vt:i4>
      </vt:variant>
      <vt:variant>
        <vt:i4>0</vt:i4>
      </vt:variant>
      <vt:variant>
        <vt:i4>5</vt:i4>
      </vt:variant>
      <vt:variant>
        <vt:lpwstr/>
      </vt:variant>
      <vt:variant>
        <vt:lpwstr>_Toc354571099</vt:lpwstr>
      </vt:variant>
      <vt:variant>
        <vt:i4>2031664</vt:i4>
      </vt:variant>
      <vt:variant>
        <vt:i4>11</vt:i4>
      </vt:variant>
      <vt:variant>
        <vt:i4>0</vt:i4>
      </vt:variant>
      <vt:variant>
        <vt:i4>5</vt:i4>
      </vt:variant>
      <vt:variant>
        <vt:lpwstr/>
      </vt:variant>
      <vt:variant>
        <vt:lpwstr>_Toc354571098</vt:lpwstr>
      </vt:variant>
      <vt:variant>
        <vt:i4>2031664</vt:i4>
      </vt:variant>
      <vt:variant>
        <vt:i4>5</vt:i4>
      </vt:variant>
      <vt:variant>
        <vt:i4>0</vt:i4>
      </vt:variant>
      <vt:variant>
        <vt:i4>5</vt:i4>
      </vt:variant>
      <vt:variant>
        <vt:lpwstr/>
      </vt:variant>
      <vt:variant>
        <vt:lpwstr>_Toc354571097</vt:lpwstr>
      </vt:variant>
      <vt:variant>
        <vt:i4>7995399</vt:i4>
      </vt:variant>
      <vt:variant>
        <vt:i4>0</vt:i4>
      </vt:variant>
      <vt:variant>
        <vt:i4>0</vt:i4>
      </vt:variant>
      <vt:variant>
        <vt:i4>5</vt:i4>
      </vt:variant>
      <vt:variant>
        <vt:lpwstr>mailto:qgcio@qld.gov.au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prioritisation technique guideline</dc:title>
  <dc:subject>QGEA generic report</dc:subject>
  <dc:creator>Lisa Irwin</dc:creator>
  <cp:keywords/>
  <dc:description/>
  <cp:lastModifiedBy>Lisa Irwin</cp:lastModifiedBy>
  <cp:revision>5</cp:revision>
  <cp:lastPrinted>2011-02-16T03:33:00Z</cp:lastPrinted>
  <dcterms:created xsi:type="dcterms:W3CDTF">2019-11-13T23:30:00Z</dcterms:created>
  <dcterms:modified xsi:type="dcterms:W3CDTF">2019-11-26T03:10:00Z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ies>
</file>